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418"/>
        <w:gridCol w:w="2268"/>
        <w:gridCol w:w="1701"/>
        <w:gridCol w:w="2551"/>
      </w:tblGrid>
      <w:tr w:rsidR="00AF7E83" w:rsidRPr="00DB41F6" w14:paraId="4B4F9C84" w14:textId="77777777" w:rsidTr="005311F6">
        <w:trPr>
          <w:trHeight w:val="416"/>
          <w:tblHeader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750A10B" w14:textId="77777777" w:rsidR="00587E09" w:rsidRPr="00DB41F6" w:rsidRDefault="00587E09" w:rsidP="00DB41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DB41F6">
              <w:rPr>
                <w:rFonts w:ascii="Times New Roman" w:hAnsi="Times New Roman"/>
                <w:b/>
                <w:sz w:val="24"/>
              </w:rPr>
              <w:t>Instance</w:t>
            </w:r>
            <w:r w:rsidR="00DB41F6">
              <w:rPr>
                <w:rFonts w:ascii="Times New Roman" w:hAnsi="Times New Roman"/>
                <w:b/>
                <w:sz w:val="24"/>
              </w:rPr>
              <w:t> :</w:t>
            </w:r>
          </w:p>
        </w:tc>
        <w:sdt>
          <w:sdtPr>
            <w:rPr>
              <w:rStyle w:val="Style2"/>
            </w:rPr>
            <w:id w:val="-1218038119"/>
            <w:lock w:val="sdtLocked"/>
            <w:placeholder>
              <w:docPart w:val="F2EDC4B7BC25440A8D9BDB1DB3046ADE"/>
            </w:placeholder>
            <w:dropDownList>
              <w:listItem w:value="Choisissez un élément."/>
              <w:listItem w:displayText="Comité de direction du MSSS (CODIR)" w:value="Comité de direction du MSSS (CODIR)"/>
              <w:listItem w:displayText="Comité de gestion du réseau (CGR)" w:value="Comité de gestion du réseau (CGR)"/>
            </w:dropDownList>
          </w:sdtPr>
          <w:sdtEndPr>
            <w:rPr>
              <w:rStyle w:val="Policepardfaut"/>
              <w:rFonts w:ascii="Calibri" w:hAnsi="Calibri"/>
            </w:rPr>
          </w:sdtEndPr>
          <w:sdtContent>
            <w:tc>
              <w:tcPr>
                <w:tcW w:w="3686" w:type="dxa"/>
                <w:gridSpan w:val="2"/>
                <w:vAlign w:val="center"/>
              </w:tcPr>
              <w:p w14:paraId="2B3EE576" w14:textId="480DD767" w:rsidR="00587E09" w:rsidRPr="00DB41F6" w:rsidRDefault="005577A3" w:rsidP="00DB41F6">
                <w:pPr>
                  <w:spacing w:after="0"/>
                  <w:rPr>
                    <w:rFonts w:ascii="Times New Roman" w:hAnsi="Times New Roman"/>
                  </w:rPr>
                </w:pPr>
                <w:r>
                  <w:rPr>
                    <w:rStyle w:val="Style2"/>
                  </w:rPr>
                  <w:t>Comité de gestion du réseau (CGR)</w:t>
                </w:r>
              </w:p>
            </w:tc>
          </w:sdtContent>
        </w:sdt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F597C4" w14:textId="77777777" w:rsidR="00587E09" w:rsidRPr="00DB41F6" w:rsidRDefault="00587E09" w:rsidP="00DB41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DB41F6">
              <w:rPr>
                <w:rFonts w:ascii="Times New Roman" w:hAnsi="Times New Roman"/>
                <w:b/>
                <w:sz w:val="24"/>
              </w:rPr>
              <w:t>Date de la rencontre</w:t>
            </w:r>
            <w:r w:rsidR="00DB41F6">
              <w:rPr>
                <w:rFonts w:ascii="Times New Roman" w:hAnsi="Times New Roman"/>
                <w:b/>
                <w:sz w:val="24"/>
              </w:rPr>
              <w:t> :</w:t>
            </w:r>
          </w:p>
        </w:tc>
        <w:sdt>
          <w:sdtPr>
            <w:rPr>
              <w:rFonts w:ascii="Times New Roman" w:hAnsi="Times New Roman"/>
            </w:rPr>
            <w:id w:val="1754311204"/>
            <w:lock w:val="sdtLocked"/>
            <w:placeholder>
              <w:docPart w:val="70CB4C2C58764BDF8D30F8E1E87F4EC6"/>
            </w:placeholder>
            <w:date w:fullDate="2022-03-30T00:00:00Z">
              <w:dateFormat w:val="yyyy-MM-dd"/>
              <w:lid w:val="fr-CA"/>
              <w:storeMappedDataAs w:val="dateTime"/>
              <w:calendar w:val="gregorian"/>
            </w:date>
          </w:sdtPr>
          <w:sdtEndPr/>
          <w:sdtContent>
            <w:tc>
              <w:tcPr>
                <w:tcW w:w="2551" w:type="dxa"/>
                <w:vAlign w:val="center"/>
              </w:tcPr>
              <w:p w14:paraId="36CC0103" w14:textId="06370BB7" w:rsidR="00587E09" w:rsidRPr="00DB41F6" w:rsidRDefault="002630CD" w:rsidP="00DB41F6">
                <w:pPr>
                  <w:spacing w:after="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2022-03-30</w:t>
                </w:r>
              </w:p>
            </w:tc>
          </w:sdtContent>
        </w:sdt>
      </w:tr>
      <w:tr w:rsidR="00252A50" w:rsidRPr="00DB41F6" w14:paraId="652A4616" w14:textId="77777777" w:rsidTr="00E4444A">
        <w:trPr>
          <w:trHeight w:val="569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8345848" w14:textId="77777777" w:rsidR="00587E09" w:rsidRPr="00DB41F6" w:rsidRDefault="00587E09" w:rsidP="00DB41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DB41F6">
              <w:rPr>
                <w:rFonts w:ascii="Times New Roman" w:hAnsi="Times New Roman"/>
                <w:b/>
                <w:sz w:val="24"/>
              </w:rPr>
              <w:t>But</w:t>
            </w:r>
            <w:r w:rsidR="00DB41F6">
              <w:rPr>
                <w:rFonts w:ascii="Times New Roman" w:hAnsi="Times New Roman"/>
                <w:b/>
                <w:sz w:val="24"/>
              </w:rPr>
              <w:t> :</w:t>
            </w:r>
          </w:p>
        </w:tc>
        <w:sdt>
          <w:sdtPr>
            <w:rPr>
              <w:rFonts w:ascii="Times New Roman" w:hAnsi="Times New Roman"/>
            </w:rPr>
            <w:id w:val="-865518978"/>
            <w:lock w:val="sdtLocked"/>
            <w:placeholder>
              <w:docPart w:val="FA7082B176A14800B3371E6D95B87741"/>
            </w:placeholder>
            <w:dropDownList>
              <w:listItem w:value="Choisissez un élément."/>
              <w:listItem w:displayText="Approbation (CODIR)" w:value="Approbation (CODIR)"/>
              <w:listItem w:displayText="Décision" w:value="Décision"/>
              <w:listItem w:displayText="Dépôt de document" w:value="Dépôt de document"/>
              <w:listItem w:displayText="Discussion" w:value="Discussion"/>
              <w:listItem w:displayText="Information" w:value="Information"/>
              <w:listItem w:displayText="Orientation" w:value="Orientation"/>
            </w:dropDownList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14:paraId="1B2BA451" w14:textId="4685E7A5" w:rsidR="00587E09" w:rsidRPr="00DB41F6" w:rsidRDefault="002630CD" w:rsidP="00DB41F6">
                <w:pPr>
                  <w:spacing w:after="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Décision</w:t>
                </w:r>
              </w:p>
            </w:tc>
          </w:sdtContent>
        </w:sdt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44B68F3" w14:textId="77777777" w:rsidR="00587E09" w:rsidRPr="00DB41F6" w:rsidRDefault="00587E09" w:rsidP="00DB41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DB41F6">
              <w:rPr>
                <w:rFonts w:ascii="Times New Roman" w:hAnsi="Times New Roman"/>
                <w:b/>
                <w:sz w:val="24"/>
              </w:rPr>
              <w:t>Durée de la présentation</w:t>
            </w:r>
            <w:r w:rsidR="00DB41F6">
              <w:rPr>
                <w:rFonts w:ascii="Times New Roman" w:hAnsi="Times New Roman"/>
                <w:b/>
                <w:sz w:val="24"/>
              </w:rPr>
              <w:t> :</w:t>
            </w:r>
          </w:p>
        </w:tc>
        <w:tc>
          <w:tcPr>
            <w:tcW w:w="2551" w:type="dxa"/>
            <w:vAlign w:val="center"/>
          </w:tcPr>
          <w:p w14:paraId="0C0634F5" w14:textId="4B5256CE" w:rsidR="00587E09" w:rsidRPr="00DB41F6" w:rsidRDefault="002630CD" w:rsidP="00527FB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527FB0">
              <w:rPr>
                <w:rFonts w:ascii="Times New Roman" w:hAnsi="Times New Roman"/>
              </w:rPr>
              <w:t xml:space="preserve"> minutes</w:t>
            </w:r>
          </w:p>
        </w:tc>
      </w:tr>
      <w:tr w:rsidR="00B56D22" w:rsidRPr="00DB41F6" w14:paraId="5F4EC54B" w14:textId="77777777" w:rsidTr="00E4444A">
        <w:trPr>
          <w:trHeight w:val="405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14:paraId="21CFA4D8" w14:textId="77777777" w:rsidR="00DB41F6" w:rsidRPr="00DB41F6" w:rsidRDefault="00DB41F6" w:rsidP="00DB41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DB41F6">
              <w:rPr>
                <w:rFonts w:ascii="Times New Roman" w:hAnsi="Times New Roman"/>
                <w:b/>
                <w:sz w:val="24"/>
              </w:rPr>
              <w:t>Pièce(s) jointe(s) à la fiche</w:t>
            </w:r>
            <w:r>
              <w:rPr>
                <w:rFonts w:ascii="Times New Roman" w:hAnsi="Times New Roman"/>
                <w:b/>
                <w:sz w:val="24"/>
              </w:rPr>
              <w:t> :</w:t>
            </w:r>
          </w:p>
        </w:tc>
        <w:tc>
          <w:tcPr>
            <w:tcW w:w="6520" w:type="dxa"/>
            <w:gridSpan w:val="3"/>
            <w:vAlign w:val="center"/>
          </w:tcPr>
          <w:p w14:paraId="35F3A6B2" w14:textId="27DADBE0" w:rsidR="00B51989" w:rsidRPr="007C27E4" w:rsidRDefault="007C27E4" w:rsidP="007C27E4">
            <w:pPr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7C27E4">
              <w:rPr>
                <w:rFonts w:ascii="Times New Roman" w:hAnsi="Times New Roman"/>
              </w:rPr>
              <w:t>Annexe : Présentation</w:t>
            </w:r>
            <w:r w:rsidR="00B318EF">
              <w:rPr>
                <w:rFonts w:ascii="Times New Roman" w:hAnsi="Times New Roman"/>
              </w:rPr>
              <w:t> </w:t>
            </w:r>
            <w:r w:rsidRPr="007C27E4">
              <w:rPr>
                <w:rFonts w:ascii="Times New Roman" w:hAnsi="Times New Roman"/>
              </w:rPr>
              <w:t>PPT</w:t>
            </w:r>
            <w:r w:rsidR="00D511C3" w:rsidRPr="007C27E4">
              <w:rPr>
                <w:rFonts w:ascii="Times New Roman" w:hAnsi="Times New Roman"/>
              </w:rPr>
              <w:t xml:space="preserve"> présentant </w:t>
            </w:r>
            <w:r w:rsidR="000957AB" w:rsidRPr="007C27E4">
              <w:rPr>
                <w:rFonts w:ascii="Times New Roman" w:hAnsi="Times New Roman"/>
              </w:rPr>
              <w:t>les orientations</w:t>
            </w:r>
            <w:r w:rsidR="00D511C3" w:rsidRPr="007C27E4">
              <w:rPr>
                <w:rFonts w:ascii="Times New Roman" w:hAnsi="Times New Roman"/>
              </w:rPr>
              <w:t xml:space="preserve"> du </w:t>
            </w:r>
            <w:r w:rsidR="00CC5194" w:rsidRPr="007C27E4">
              <w:rPr>
                <w:rFonts w:ascii="Times New Roman" w:hAnsi="Times New Roman"/>
              </w:rPr>
              <w:t>financement axé sur le patient</w:t>
            </w:r>
          </w:p>
        </w:tc>
      </w:tr>
    </w:tbl>
    <w:p w14:paraId="6BF3A4C9" w14:textId="77777777" w:rsidR="00D92AC1" w:rsidRPr="004F2DCD" w:rsidRDefault="00D92AC1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5528"/>
      </w:tblGrid>
      <w:tr w:rsidR="00AF7E83" w:rsidRPr="00DB41F6" w14:paraId="4E4AAAED" w14:textId="77777777" w:rsidTr="005311F6">
        <w:trPr>
          <w:trHeight w:val="416"/>
          <w:tblHeader/>
        </w:trPr>
        <w:tc>
          <w:tcPr>
            <w:tcW w:w="4112" w:type="dxa"/>
            <w:shd w:val="clear" w:color="auto" w:fill="D9D9D9" w:themeFill="background1" w:themeFillShade="D9"/>
            <w:vAlign w:val="center"/>
          </w:tcPr>
          <w:p w14:paraId="7D05AB5A" w14:textId="77777777" w:rsidR="00297B1C" w:rsidRPr="00DB41F6" w:rsidRDefault="00297B1C" w:rsidP="00297B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Direction générale ou établissement :</w:t>
            </w:r>
          </w:p>
        </w:tc>
        <w:tc>
          <w:tcPr>
            <w:tcW w:w="5528" w:type="dxa"/>
            <w:vAlign w:val="center"/>
          </w:tcPr>
          <w:p w14:paraId="5D8B911B" w14:textId="689FC864" w:rsidR="00297B1C" w:rsidRPr="00DB41F6" w:rsidRDefault="00297B1C" w:rsidP="00297B1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Direction générale du financement, de l’allocation des ressources et du budget</w:t>
            </w:r>
          </w:p>
        </w:tc>
      </w:tr>
      <w:tr w:rsidR="00B56D22" w:rsidRPr="00DB41F6" w14:paraId="739B4A89" w14:textId="77777777" w:rsidTr="00E4444A">
        <w:trPr>
          <w:trHeight w:val="453"/>
        </w:trPr>
        <w:tc>
          <w:tcPr>
            <w:tcW w:w="4112" w:type="dxa"/>
            <w:shd w:val="clear" w:color="auto" w:fill="D9D9D9" w:themeFill="background1" w:themeFillShade="D9"/>
            <w:vAlign w:val="center"/>
          </w:tcPr>
          <w:p w14:paraId="218C1214" w14:textId="77777777" w:rsidR="00297B1C" w:rsidRPr="00DB41F6" w:rsidRDefault="00297B1C" w:rsidP="00297B1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Porteur du dossier :</w:t>
            </w:r>
          </w:p>
        </w:tc>
        <w:tc>
          <w:tcPr>
            <w:tcW w:w="5528" w:type="dxa"/>
            <w:vAlign w:val="center"/>
          </w:tcPr>
          <w:p w14:paraId="159E43CA" w14:textId="0D49A878" w:rsidR="00297B1C" w:rsidRPr="00DB41F6" w:rsidRDefault="00297B1C" w:rsidP="00297B1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Pierre-Albert Coubat, sous-ministre adjoint</w:t>
            </w:r>
          </w:p>
        </w:tc>
      </w:tr>
    </w:tbl>
    <w:p w14:paraId="278765C7" w14:textId="77777777" w:rsidR="00527FB0" w:rsidRPr="004F2DCD" w:rsidRDefault="00527FB0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F7E83" w:rsidRPr="00DB41F6" w14:paraId="26C64C60" w14:textId="77777777" w:rsidTr="005311F6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10584E73" w14:textId="77777777" w:rsidR="00E4444A" w:rsidRPr="00DB41F6" w:rsidRDefault="00E4444A" w:rsidP="00C332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Sujet </w:t>
            </w:r>
          </w:p>
        </w:tc>
      </w:tr>
      <w:tr w:rsidR="00B86E70" w:rsidRPr="00DB41F6" w14:paraId="05423587" w14:textId="77777777" w:rsidTr="00834839">
        <w:trPr>
          <w:trHeight w:val="416"/>
        </w:trPr>
        <w:tc>
          <w:tcPr>
            <w:tcW w:w="9640" w:type="dxa"/>
            <w:shd w:val="clear" w:color="auto" w:fill="auto"/>
            <w:vAlign w:val="center"/>
          </w:tcPr>
          <w:p w14:paraId="206CB400" w14:textId="1231E7A3" w:rsidR="00E4444A" w:rsidRPr="00DB41F6" w:rsidRDefault="0078309F" w:rsidP="00834839">
            <w:pPr>
              <w:spacing w:before="6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Financement axé sur le patient : </w:t>
            </w:r>
            <w:r w:rsidR="007C27E4">
              <w:rPr>
                <w:rFonts w:ascii="Times New Roman" w:hAnsi="Times New Roman"/>
              </w:rPr>
              <w:t>orientations et feuille de route 2022</w:t>
            </w:r>
            <w:r w:rsidR="00B318EF">
              <w:rPr>
                <w:rFonts w:ascii="Times New Roman" w:hAnsi="Times New Roman"/>
              </w:rPr>
              <w:noBreakHyphen/>
            </w:r>
            <w:r w:rsidR="007C27E4">
              <w:rPr>
                <w:rFonts w:ascii="Times New Roman" w:hAnsi="Times New Roman"/>
              </w:rPr>
              <w:t>2026</w:t>
            </w:r>
          </w:p>
        </w:tc>
      </w:tr>
    </w:tbl>
    <w:p w14:paraId="580C2122" w14:textId="77777777" w:rsidR="00E4444A" w:rsidRPr="004F2DCD" w:rsidRDefault="00E4444A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B56D22" w:rsidRPr="00DB41F6" w14:paraId="4EE6A24B" w14:textId="77777777" w:rsidTr="2D67598A">
        <w:trPr>
          <w:trHeight w:val="416"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645FEBD1" w14:textId="77777777" w:rsidR="00E4444A" w:rsidRPr="00DB41F6" w:rsidRDefault="00E4444A" w:rsidP="00C332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Résumé du dossier (sommaire exécutif) </w:t>
            </w:r>
          </w:p>
        </w:tc>
      </w:tr>
      <w:tr w:rsidR="002E04DF" w:rsidRPr="00154585" w14:paraId="1BE4166F" w14:textId="77777777" w:rsidTr="007C27E4">
        <w:trPr>
          <w:trHeight w:val="7560"/>
        </w:trPr>
        <w:tc>
          <w:tcPr>
            <w:tcW w:w="9640" w:type="dxa"/>
            <w:shd w:val="clear" w:color="auto" w:fill="auto"/>
            <w:vAlign w:val="center"/>
          </w:tcPr>
          <w:p w14:paraId="5E5C4821" w14:textId="7BD14D4C" w:rsidR="008A0949" w:rsidRPr="00B2699A" w:rsidRDefault="00124992" w:rsidP="007C27E4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B2699A">
              <w:rPr>
                <w:rFonts w:ascii="Times New Roman" w:hAnsi="Times New Roman"/>
              </w:rPr>
              <w:t xml:space="preserve">Le gouvernement </w:t>
            </w:r>
            <w:r w:rsidR="0080583B">
              <w:rPr>
                <w:rFonts w:ascii="Times New Roman" w:hAnsi="Times New Roman"/>
              </w:rPr>
              <w:t xml:space="preserve">du Québec </w:t>
            </w:r>
            <w:r w:rsidRPr="00B2699A">
              <w:rPr>
                <w:rFonts w:ascii="Times New Roman" w:hAnsi="Times New Roman"/>
              </w:rPr>
              <w:t>s’est engagé dans une réforme importante des services de santé et des services sociaux</w:t>
            </w:r>
            <w:r w:rsidR="005204BD">
              <w:rPr>
                <w:rFonts w:ascii="Times New Roman" w:hAnsi="Times New Roman"/>
              </w:rPr>
              <w:t xml:space="preserve"> en entamant la transition d’un mode de financement principalement sur base historique à un financement à l’activité.</w:t>
            </w:r>
            <w:r w:rsidRPr="00B2699A">
              <w:rPr>
                <w:rFonts w:ascii="Times New Roman" w:hAnsi="Times New Roman"/>
              </w:rPr>
              <w:t xml:space="preserve"> Le financement axé sur les patients</w:t>
            </w:r>
            <w:r w:rsidR="00601570">
              <w:rPr>
                <w:rFonts w:ascii="Times New Roman" w:hAnsi="Times New Roman"/>
              </w:rPr>
              <w:t> </w:t>
            </w:r>
            <w:r w:rsidRPr="00B2699A">
              <w:rPr>
                <w:rFonts w:ascii="Times New Roman" w:hAnsi="Times New Roman"/>
              </w:rPr>
              <w:t xml:space="preserve">(FAP) constitue un mode d’allocation des ressources établissant un lien direct entre le patient, les soins prodigués et le financement. </w:t>
            </w:r>
            <w:r w:rsidR="008A0949" w:rsidRPr="00B2699A">
              <w:rPr>
                <w:rFonts w:ascii="Times New Roman" w:hAnsi="Times New Roman"/>
              </w:rPr>
              <w:t>Le ministère de la Santé et des Services sociau</w:t>
            </w:r>
            <w:r w:rsidR="00601570">
              <w:rPr>
                <w:rFonts w:ascii="Times New Roman" w:hAnsi="Times New Roman"/>
              </w:rPr>
              <w:t>x </w:t>
            </w:r>
            <w:r w:rsidR="008A0949" w:rsidRPr="00B2699A">
              <w:rPr>
                <w:rFonts w:ascii="Times New Roman" w:hAnsi="Times New Roman"/>
              </w:rPr>
              <w:t>(MSSS) s’est engagé depuis dans une démarche d’amélioration continue</w:t>
            </w:r>
            <w:r w:rsidR="0068767C" w:rsidRPr="00B2699A">
              <w:rPr>
                <w:rFonts w:ascii="Times New Roman" w:hAnsi="Times New Roman"/>
              </w:rPr>
              <w:t xml:space="preserve"> et</w:t>
            </w:r>
            <w:r w:rsidR="008A0949" w:rsidRPr="00B2699A">
              <w:rPr>
                <w:rFonts w:ascii="Times New Roman" w:hAnsi="Times New Roman"/>
              </w:rPr>
              <w:t xml:space="preserve"> souhaite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="008A0949" w:rsidRPr="00B2699A">
              <w:rPr>
                <w:rFonts w:ascii="Times New Roman" w:hAnsi="Times New Roman"/>
              </w:rPr>
              <w:t xml:space="preserve">instaurer </w:t>
            </w:r>
            <w:r w:rsidR="0068767C" w:rsidRPr="00B2699A">
              <w:rPr>
                <w:rFonts w:ascii="Times New Roman" w:hAnsi="Times New Roman"/>
              </w:rPr>
              <w:t xml:space="preserve">selon une approche par étape, </w:t>
            </w:r>
            <w:r w:rsidR="008A0949" w:rsidRPr="00B2699A">
              <w:rPr>
                <w:rFonts w:ascii="Times New Roman" w:hAnsi="Times New Roman"/>
              </w:rPr>
              <w:t>de meilleures pratiques et implanter une culture d’organisation innovante et efficiente dans un contexte de changement.</w:t>
            </w:r>
            <w:r w:rsidR="0068767C" w:rsidRPr="00B2699A">
              <w:rPr>
                <w:rFonts w:ascii="Times New Roman" w:hAnsi="Times New Roman"/>
              </w:rPr>
              <w:t xml:space="preserve"> Le</w:t>
            </w:r>
            <w:r w:rsidR="00601570">
              <w:rPr>
                <w:rFonts w:ascii="Times New Roman" w:hAnsi="Times New Roman"/>
              </w:rPr>
              <w:t> </w:t>
            </w:r>
            <w:r w:rsidR="0068767C" w:rsidRPr="00B2699A">
              <w:rPr>
                <w:rFonts w:ascii="Times New Roman" w:hAnsi="Times New Roman"/>
              </w:rPr>
              <w:t xml:space="preserve">FAP s’inscrit dans cette réforme étant donné </w:t>
            </w:r>
            <w:r w:rsidR="005204BD">
              <w:rPr>
                <w:rFonts w:ascii="Times New Roman" w:hAnsi="Times New Roman"/>
              </w:rPr>
              <w:t>qu’il s’agit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="005204BD">
              <w:rPr>
                <w:rFonts w:ascii="Times New Roman" w:hAnsi="Times New Roman"/>
              </w:rPr>
              <w:t>d’</w:t>
            </w:r>
            <w:r w:rsidR="0068767C" w:rsidRPr="00B2699A">
              <w:rPr>
                <w:rFonts w:ascii="Times New Roman" w:hAnsi="Times New Roman"/>
              </w:rPr>
              <w:t>un levier menant à l’amélioration de la performance</w:t>
            </w:r>
            <w:r w:rsidR="0078309F">
              <w:rPr>
                <w:rFonts w:ascii="Times New Roman" w:hAnsi="Times New Roman"/>
              </w:rPr>
              <w:t> </w:t>
            </w:r>
            <w:r w:rsidR="0068767C" w:rsidRPr="00B2699A">
              <w:rPr>
                <w:rFonts w:ascii="Times New Roman" w:hAnsi="Times New Roman"/>
              </w:rPr>
              <w:t>: la qualité des soins, l’accessibilité aux services et l’efficience financière.</w:t>
            </w:r>
          </w:p>
          <w:p w14:paraId="73CF6AF2" w14:textId="77777777" w:rsidR="00783534" w:rsidRDefault="0068767C" w:rsidP="007C27E4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B2699A">
              <w:rPr>
                <w:rFonts w:ascii="Times New Roman" w:hAnsi="Times New Roman"/>
              </w:rPr>
              <w:t>Afin d</w:t>
            </w:r>
            <w:r w:rsidR="00B855D0" w:rsidRPr="00B2699A">
              <w:rPr>
                <w:rFonts w:ascii="Times New Roman" w:hAnsi="Times New Roman"/>
              </w:rPr>
              <w:t xml:space="preserve">e </w:t>
            </w:r>
            <w:r w:rsidRPr="00B2699A">
              <w:rPr>
                <w:rFonts w:ascii="Times New Roman" w:hAnsi="Times New Roman"/>
              </w:rPr>
              <w:t xml:space="preserve">cerner les besoins, </w:t>
            </w:r>
            <w:r w:rsidR="00601570">
              <w:rPr>
                <w:rFonts w:ascii="Times New Roman" w:hAnsi="Times New Roman"/>
              </w:rPr>
              <w:t xml:space="preserve">de </w:t>
            </w:r>
            <w:r w:rsidRPr="00B2699A">
              <w:rPr>
                <w:rFonts w:ascii="Times New Roman" w:hAnsi="Times New Roman"/>
              </w:rPr>
              <w:t xml:space="preserve">mieux saisir les facteurs qui influencent les coûts et </w:t>
            </w:r>
            <w:r w:rsidR="00601570">
              <w:rPr>
                <w:rFonts w:ascii="Times New Roman" w:hAnsi="Times New Roman"/>
              </w:rPr>
              <w:t xml:space="preserve">de </w:t>
            </w:r>
            <w:r w:rsidRPr="00B2699A">
              <w:rPr>
                <w:rFonts w:ascii="Times New Roman" w:hAnsi="Times New Roman"/>
              </w:rPr>
              <w:t xml:space="preserve">trouver des </w:t>
            </w:r>
            <w:r w:rsidR="00B855D0" w:rsidRPr="00B2699A">
              <w:rPr>
                <w:rFonts w:ascii="Times New Roman" w:hAnsi="Times New Roman"/>
              </w:rPr>
              <w:t>solutions</w:t>
            </w:r>
            <w:r w:rsidRPr="00B2699A">
              <w:rPr>
                <w:rFonts w:ascii="Times New Roman" w:hAnsi="Times New Roman"/>
              </w:rPr>
              <w:t xml:space="preserve"> face aux enjeux</w:t>
            </w:r>
            <w:r w:rsidR="00B855D0" w:rsidRPr="00B2699A">
              <w:rPr>
                <w:rFonts w:ascii="Times New Roman" w:hAnsi="Times New Roman"/>
              </w:rPr>
              <w:t xml:space="preserve"> reliés à la mise en place des nouvelles règles de financement, un comité consultatif réseau</w:t>
            </w:r>
            <w:r w:rsidR="00601570">
              <w:rPr>
                <w:rFonts w:ascii="Times New Roman" w:hAnsi="Times New Roman"/>
              </w:rPr>
              <w:t> </w:t>
            </w:r>
            <w:r w:rsidR="005204BD">
              <w:rPr>
                <w:rFonts w:ascii="Times New Roman" w:hAnsi="Times New Roman"/>
              </w:rPr>
              <w:t xml:space="preserve">(CCR) </w:t>
            </w:r>
            <w:r w:rsidR="00B855D0" w:rsidRPr="00B2699A">
              <w:rPr>
                <w:rFonts w:ascii="Times New Roman" w:hAnsi="Times New Roman"/>
              </w:rPr>
              <w:t xml:space="preserve">a été mis en place. </w:t>
            </w:r>
          </w:p>
          <w:p w14:paraId="387EC031" w14:textId="6D7153E6" w:rsidR="00783534" w:rsidRDefault="00B855D0" w:rsidP="007C27E4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B2699A">
              <w:rPr>
                <w:rFonts w:ascii="Times New Roman" w:hAnsi="Times New Roman"/>
              </w:rPr>
              <w:t>Depuis</w:t>
            </w:r>
            <w:r w:rsidR="00783534">
              <w:rPr>
                <w:rFonts w:ascii="Times New Roman" w:hAnsi="Times New Roman"/>
              </w:rPr>
              <w:t xml:space="preserve"> le début des travaux</w:t>
            </w:r>
            <w:r w:rsidRPr="00B2699A">
              <w:rPr>
                <w:rFonts w:ascii="Times New Roman" w:hAnsi="Times New Roman"/>
              </w:rPr>
              <w:t>,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="007C27E4">
              <w:rPr>
                <w:rFonts w:ascii="Times New Roman" w:hAnsi="Times New Roman"/>
              </w:rPr>
              <w:t>d’importantes améliorations dans la qualité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="007C27E4">
              <w:rPr>
                <w:rFonts w:ascii="Times New Roman" w:hAnsi="Times New Roman"/>
              </w:rPr>
              <w:t>d</w:t>
            </w:r>
            <w:r w:rsidR="0068767C" w:rsidRPr="00B2699A">
              <w:rPr>
                <w:rFonts w:ascii="Times New Roman" w:hAnsi="Times New Roman"/>
              </w:rPr>
              <w:t xml:space="preserve">es données cliniques et financières </w:t>
            </w:r>
            <w:r w:rsidRPr="00B2699A">
              <w:rPr>
                <w:rFonts w:ascii="Times New Roman" w:hAnsi="Times New Roman"/>
              </w:rPr>
              <w:t xml:space="preserve">de certains secteurs </w:t>
            </w:r>
            <w:r w:rsidR="00783534">
              <w:rPr>
                <w:rFonts w:ascii="Times New Roman" w:hAnsi="Times New Roman"/>
              </w:rPr>
              <w:t xml:space="preserve">d’activités </w:t>
            </w:r>
            <w:r w:rsidRPr="00B2699A">
              <w:rPr>
                <w:rFonts w:ascii="Times New Roman" w:hAnsi="Times New Roman"/>
              </w:rPr>
              <w:t>ont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Pr="00B2699A">
              <w:rPr>
                <w:rFonts w:ascii="Times New Roman" w:hAnsi="Times New Roman"/>
              </w:rPr>
              <w:t>été</w:t>
            </w:r>
            <w:r w:rsidR="0068767C" w:rsidRPr="00B2699A">
              <w:rPr>
                <w:rFonts w:ascii="Times New Roman" w:hAnsi="Times New Roman"/>
              </w:rPr>
              <w:t xml:space="preserve"> </w:t>
            </w:r>
            <w:r w:rsidR="007C27E4">
              <w:rPr>
                <w:rFonts w:ascii="Times New Roman" w:hAnsi="Times New Roman"/>
              </w:rPr>
              <w:t xml:space="preserve">réalisées, </w:t>
            </w:r>
            <w:r w:rsidR="00783534">
              <w:rPr>
                <w:rFonts w:ascii="Times New Roman" w:hAnsi="Times New Roman"/>
              </w:rPr>
              <w:t>et des</w:t>
            </w:r>
            <w:r w:rsidR="0068767C" w:rsidRPr="00B2699A">
              <w:rPr>
                <w:rFonts w:ascii="Times New Roman" w:hAnsi="Times New Roman"/>
              </w:rPr>
              <w:t xml:space="preserve"> mise</w:t>
            </w:r>
            <w:r w:rsidR="00783534">
              <w:rPr>
                <w:rFonts w:ascii="Times New Roman" w:hAnsi="Times New Roman"/>
              </w:rPr>
              <w:t>s</w:t>
            </w:r>
            <w:r w:rsidR="0068767C" w:rsidRPr="00B2699A">
              <w:rPr>
                <w:rFonts w:ascii="Times New Roman" w:hAnsi="Times New Roman"/>
              </w:rPr>
              <w:t xml:space="preserve"> à jour </w:t>
            </w:r>
            <w:r w:rsidR="00783534">
              <w:rPr>
                <w:rFonts w:ascii="Times New Roman" w:hAnsi="Times New Roman"/>
              </w:rPr>
              <w:t>ont été effectuées</w:t>
            </w:r>
            <w:r w:rsidR="00EB52E4">
              <w:rPr>
                <w:rFonts w:ascii="Times New Roman" w:hAnsi="Times New Roman"/>
              </w:rPr>
              <w:t xml:space="preserve"> dans les</w:t>
            </w:r>
            <w:r w:rsidR="0068767C" w:rsidRPr="00B2699A">
              <w:rPr>
                <w:rFonts w:ascii="Times New Roman" w:hAnsi="Times New Roman"/>
              </w:rPr>
              <w:t xml:space="preserve"> ressources informationnelles</w:t>
            </w:r>
            <w:r w:rsidR="00601570">
              <w:rPr>
                <w:rFonts w:ascii="Times New Roman" w:hAnsi="Times New Roman"/>
              </w:rPr>
              <w:t>.</w:t>
            </w:r>
            <w:r w:rsidR="006848C0" w:rsidRPr="00B2699A">
              <w:rPr>
                <w:rFonts w:ascii="Times New Roman" w:hAnsi="Times New Roman"/>
              </w:rPr>
              <w:t xml:space="preserve"> </w:t>
            </w:r>
          </w:p>
          <w:p w14:paraId="53F6F2F0" w14:textId="78B74878" w:rsidR="0068767C" w:rsidRPr="00B2699A" w:rsidRDefault="00B90EA2" w:rsidP="007C27E4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À </w:t>
            </w:r>
            <w:r w:rsidR="00D467F1">
              <w:rPr>
                <w:rFonts w:ascii="Times New Roman" w:hAnsi="Times New Roman"/>
              </w:rPr>
              <w:t>ce jour</w:t>
            </w:r>
            <w:r>
              <w:rPr>
                <w:rFonts w:ascii="Times New Roman" w:hAnsi="Times New Roman"/>
              </w:rPr>
              <w:t>, d</w:t>
            </w:r>
            <w:r w:rsidR="006848C0" w:rsidRPr="00B2699A">
              <w:rPr>
                <w:rFonts w:ascii="Times New Roman" w:hAnsi="Times New Roman"/>
              </w:rPr>
              <w:t>e nouvelles méthodologies de financement ont été développées</w:t>
            </w:r>
            <w:r w:rsidR="006B744C">
              <w:rPr>
                <w:rFonts w:ascii="Times New Roman" w:hAnsi="Times New Roman"/>
              </w:rPr>
              <w:t xml:space="preserve"> et implantées</w:t>
            </w:r>
            <w:r w:rsidR="006848C0" w:rsidRPr="00B2699A">
              <w:rPr>
                <w:rFonts w:ascii="Times New Roman" w:hAnsi="Times New Roman"/>
              </w:rPr>
              <w:t xml:space="preserve"> dans les secteurs de</w:t>
            </w:r>
            <w:r w:rsidR="00B2699A">
              <w:rPr>
                <w:rFonts w:ascii="Times New Roman" w:hAnsi="Times New Roman"/>
              </w:rPr>
              <w:t xml:space="preserve"> la radio</w:t>
            </w:r>
            <w:r w:rsidR="006E60E2">
              <w:rPr>
                <w:rFonts w:ascii="Times New Roman" w:hAnsi="Times New Roman"/>
              </w:rPr>
              <w:noBreakHyphen/>
            </w:r>
            <w:r w:rsidR="00B2699A">
              <w:rPr>
                <w:rFonts w:ascii="Times New Roman" w:hAnsi="Times New Roman"/>
              </w:rPr>
              <w:t>oncologie</w:t>
            </w:r>
            <w:r w:rsidR="005204BD">
              <w:rPr>
                <w:rFonts w:ascii="Times New Roman" w:hAnsi="Times New Roman"/>
              </w:rPr>
              <w:t>, la coloscopie</w:t>
            </w:r>
            <w:r w:rsidR="00834839">
              <w:rPr>
                <w:rFonts w:ascii="Times New Roman" w:hAnsi="Times New Roman"/>
              </w:rPr>
              <w:t xml:space="preserve"> et de l’imagerie médicale</w:t>
            </w:r>
            <w:r w:rsidR="007C27E4">
              <w:rPr>
                <w:rFonts w:ascii="Times New Roman" w:hAnsi="Times New Roman"/>
              </w:rPr>
              <w:t>, se traduisant par des économies et gains d’efficience annuels de plusieurs dizaines de millions de dollars.</w:t>
            </w:r>
          </w:p>
          <w:p w14:paraId="00ECEA45" w14:textId="5A096463" w:rsidR="00DF255C" w:rsidRPr="00C2269D" w:rsidRDefault="00B855D0" w:rsidP="007C27E4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99A">
              <w:rPr>
                <w:rFonts w:ascii="Times New Roman" w:hAnsi="Times New Roman"/>
              </w:rPr>
              <w:t xml:space="preserve">Avec la reprise </w:t>
            </w:r>
            <w:r w:rsidR="006848C0" w:rsidRPr="00B2699A">
              <w:rPr>
                <w:rFonts w:ascii="Times New Roman" w:hAnsi="Times New Roman"/>
              </w:rPr>
              <w:t>progressive</w:t>
            </w:r>
            <w:r w:rsidRPr="00B2699A">
              <w:rPr>
                <w:rFonts w:ascii="Times New Roman" w:hAnsi="Times New Roman"/>
              </w:rPr>
              <w:t xml:space="preserve"> des activités délestées par la</w:t>
            </w:r>
            <w:r w:rsidR="009A4CAB">
              <w:rPr>
                <w:rFonts w:ascii="Times New Roman" w:hAnsi="Times New Roman"/>
              </w:rPr>
              <w:t xml:space="preserve"> pandémie de</w:t>
            </w:r>
            <w:r w:rsidR="00EB7BD7">
              <w:rPr>
                <w:rFonts w:ascii="Times New Roman" w:hAnsi="Times New Roman"/>
              </w:rPr>
              <w:t xml:space="preserve"> la</w:t>
            </w:r>
            <w:r w:rsidR="009A4CAB">
              <w:rPr>
                <w:rFonts w:ascii="Times New Roman" w:hAnsi="Times New Roman"/>
              </w:rPr>
              <w:t> </w:t>
            </w:r>
            <w:r w:rsidRPr="00B2699A">
              <w:rPr>
                <w:rFonts w:ascii="Times New Roman" w:hAnsi="Times New Roman"/>
              </w:rPr>
              <w:t>COVID</w:t>
            </w:r>
            <w:r w:rsidR="009A4CAB">
              <w:rPr>
                <w:rFonts w:ascii="Times New Roman" w:hAnsi="Times New Roman"/>
              </w:rPr>
              <w:noBreakHyphen/>
            </w:r>
            <w:r w:rsidRPr="00B2699A">
              <w:rPr>
                <w:rFonts w:ascii="Times New Roman" w:hAnsi="Times New Roman"/>
              </w:rPr>
              <w:t xml:space="preserve">19, </w:t>
            </w:r>
            <w:r w:rsidR="006848C0" w:rsidRPr="00B2699A">
              <w:rPr>
                <w:rFonts w:ascii="Times New Roman" w:hAnsi="Times New Roman"/>
              </w:rPr>
              <w:t xml:space="preserve">une planification </w:t>
            </w:r>
            <w:r w:rsidR="007C27E4">
              <w:rPr>
                <w:rFonts w:ascii="Times New Roman" w:hAnsi="Times New Roman"/>
              </w:rPr>
              <w:t>tenant</w:t>
            </w:r>
            <w:r w:rsidR="006848C0" w:rsidRPr="00B2699A">
              <w:rPr>
                <w:rFonts w:ascii="Times New Roman" w:hAnsi="Times New Roman"/>
              </w:rPr>
              <w:t xml:space="preserve"> compte des orientations et des priorités du</w:t>
            </w:r>
            <w:r w:rsidR="00EB7BD7">
              <w:rPr>
                <w:rFonts w:ascii="Times New Roman" w:hAnsi="Times New Roman"/>
              </w:rPr>
              <w:t> </w:t>
            </w:r>
            <w:r w:rsidR="009A4CAB">
              <w:rPr>
                <w:rFonts w:ascii="Times New Roman" w:hAnsi="Times New Roman"/>
              </w:rPr>
              <w:t>MSSS</w:t>
            </w:r>
            <w:r w:rsidR="006848C0" w:rsidRPr="00B2699A">
              <w:rPr>
                <w:rFonts w:ascii="Times New Roman" w:hAnsi="Times New Roman"/>
              </w:rPr>
              <w:t xml:space="preserve"> </w:t>
            </w:r>
            <w:r w:rsidR="007C27E4">
              <w:rPr>
                <w:rFonts w:ascii="Times New Roman" w:hAnsi="Times New Roman"/>
              </w:rPr>
              <w:t xml:space="preserve">est </w:t>
            </w:r>
            <w:r w:rsidR="006848C0" w:rsidRPr="00B2699A">
              <w:rPr>
                <w:rFonts w:ascii="Times New Roman" w:hAnsi="Times New Roman"/>
              </w:rPr>
              <w:t>proposée</w:t>
            </w:r>
            <w:r w:rsidR="00DD205A">
              <w:rPr>
                <w:rFonts w:ascii="Times New Roman" w:hAnsi="Times New Roman"/>
              </w:rPr>
              <w:t xml:space="preserve"> par la </w:t>
            </w:r>
            <w:r w:rsidR="00DD205A" w:rsidRPr="00DD205A">
              <w:rPr>
                <w:rFonts w:ascii="Times New Roman" w:hAnsi="Times New Roman"/>
              </w:rPr>
              <w:t>Direction générale du financement, de l’allocation des ressources et du budget</w:t>
            </w:r>
            <w:r w:rsidR="006848C0" w:rsidRPr="00B2699A">
              <w:rPr>
                <w:rFonts w:ascii="Times New Roman" w:hAnsi="Times New Roman"/>
              </w:rPr>
              <w:t xml:space="preserve">. </w:t>
            </w:r>
            <w:r w:rsidR="00DD205A">
              <w:rPr>
                <w:rFonts w:ascii="Times New Roman" w:hAnsi="Times New Roman"/>
              </w:rPr>
              <w:t>À court terme, l</w:t>
            </w:r>
            <w:r w:rsidR="006848C0" w:rsidRPr="00B2699A">
              <w:rPr>
                <w:rFonts w:ascii="Times New Roman" w:hAnsi="Times New Roman"/>
              </w:rPr>
              <w:t xml:space="preserve">es secteurs majeurs ciblés dans cette nouvelle planification sont </w:t>
            </w:r>
            <w:r w:rsidR="00D511C3">
              <w:rPr>
                <w:rFonts w:ascii="Times New Roman" w:hAnsi="Times New Roman"/>
              </w:rPr>
              <w:t>la chirurgie, l’obstétrique, la néonatologie et la cardiologie tertiaire.</w:t>
            </w:r>
            <w:r w:rsidR="00DD205A">
              <w:rPr>
                <w:rFonts w:ascii="Times New Roman" w:hAnsi="Times New Roman"/>
              </w:rPr>
              <w:t xml:space="preserve"> La planification de travaux en lien avec les secteurs de </w:t>
            </w:r>
            <w:r w:rsidR="00FC057D">
              <w:rPr>
                <w:rFonts w:ascii="Times New Roman" w:hAnsi="Times New Roman"/>
              </w:rPr>
              <w:t>l’urgence,</w:t>
            </w:r>
            <w:r w:rsidR="00DD205A">
              <w:rPr>
                <w:rFonts w:ascii="Times New Roman" w:hAnsi="Times New Roman"/>
              </w:rPr>
              <w:t xml:space="preserve"> le service aux aînés et la médecine </w:t>
            </w:r>
            <w:r w:rsidR="007C27E4">
              <w:rPr>
                <w:rFonts w:ascii="Times New Roman" w:hAnsi="Times New Roman"/>
              </w:rPr>
              <w:t>ser</w:t>
            </w:r>
            <w:r w:rsidR="00EB7BD7">
              <w:rPr>
                <w:rFonts w:ascii="Times New Roman" w:hAnsi="Times New Roman"/>
              </w:rPr>
              <w:t>a</w:t>
            </w:r>
            <w:r w:rsidR="007C27E4">
              <w:rPr>
                <w:rFonts w:ascii="Times New Roman" w:hAnsi="Times New Roman"/>
              </w:rPr>
              <w:t xml:space="preserve"> adressé</w:t>
            </w:r>
            <w:r w:rsidR="00EB7BD7">
              <w:rPr>
                <w:rFonts w:ascii="Times New Roman" w:hAnsi="Times New Roman"/>
              </w:rPr>
              <w:t>e</w:t>
            </w:r>
            <w:r w:rsidR="007C27E4">
              <w:rPr>
                <w:rFonts w:ascii="Times New Roman" w:hAnsi="Times New Roman"/>
              </w:rPr>
              <w:t xml:space="preserve"> dans un deuxième temps.</w:t>
            </w:r>
          </w:p>
        </w:tc>
      </w:tr>
    </w:tbl>
    <w:p w14:paraId="183D711A" w14:textId="77777777" w:rsidR="00E4444A" w:rsidRPr="00BA69AE" w:rsidRDefault="00E4444A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314D3" w:rsidRPr="00154585" w14:paraId="1B11A93B" w14:textId="77777777" w:rsidTr="005311F6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0828AA15" w14:textId="355D1317" w:rsidR="00E4444A" w:rsidRPr="00C2269D" w:rsidRDefault="00E4444A" w:rsidP="00C332C9">
            <w:pPr>
              <w:spacing w:after="0"/>
              <w:rPr>
                <w:rFonts w:ascii="Times New Roman" w:hAnsi="Times New Roman"/>
              </w:rPr>
            </w:pPr>
            <w:r w:rsidRPr="00C2269D">
              <w:rPr>
                <w:rFonts w:ascii="Times New Roman" w:hAnsi="Times New Roman"/>
                <w:b/>
                <w:sz w:val="24"/>
                <w:szCs w:val="24"/>
              </w:rPr>
              <w:t>Enjeux et impacts importants (ressources humaines, financières, matérielles, législati</w:t>
            </w:r>
            <w:r w:rsidR="000F0AC1">
              <w:rPr>
                <w:rFonts w:ascii="Times New Roman" w:hAnsi="Times New Roman"/>
                <w:b/>
                <w:sz w:val="24"/>
                <w:szCs w:val="24"/>
              </w:rPr>
              <w:t>ve</w:t>
            </w:r>
            <w:r w:rsidRPr="00C2269D">
              <w:rPr>
                <w:rFonts w:ascii="Times New Roman" w:hAnsi="Times New Roman"/>
                <w:b/>
                <w:sz w:val="24"/>
                <w:szCs w:val="24"/>
              </w:rPr>
              <w:t>s, etc.)</w:t>
            </w:r>
          </w:p>
        </w:tc>
      </w:tr>
      <w:tr w:rsidR="002E04DF" w:rsidRPr="00154585" w14:paraId="09283C77" w14:textId="77777777" w:rsidTr="00E4444A">
        <w:trPr>
          <w:trHeight w:val="614"/>
        </w:trPr>
        <w:tc>
          <w:tcPr>
            <w:tcW w:w="9640" w:type="dxa"/>
            <w:shd w:val="clear" w:color="auto" w:fill="auto"/>
            <w:vAlign w:val="center"/>
          </w:tcPr>
          <w:p w14:paraId="15310CAE" w14:textId="5D6A8B1D" w:rsidR="00E4444A" w:rsidRDefault="00F90137" w:rsidP="007C27E4">
            <w:pPr>
              <w:spacing w:before="120" w:after="0"/>
              <w:jc w:val="both"/>
              <w:rPr>
                <w:rFonts w:ascii="Times New Roman" w:hAnsi="Times New Roman"/>
                <w:color w:val="000000"/>
              </w:rPr>
            </w:pPr>
            <w:r w:rsidRPr="003104F3">
              <w:rPr>
                <w:rFonts w:ascii="Times New Roman" w:hAnsi="Times New Roman"/>
                <w:b/>
                <w:bCs/>
              </w:rPr>
              <w:t>Enjeux financiers</w:t>
            </w:r>
            <w:r w:rsidR="0078309F">
              <w:rPr>
                <w:rFonts w:ascii="Times New Roman" w:hAnsi="Times New Roman"/>
              </w:rPr>
              <w:t> </w:t>
            </w:r>
            <w:r w:rsidRPr="00C2269D">
              <w:rPr>
                <w:rFonts w:ascii="Times New Roman" w:hAnsi="Times New Roman"/>
              </w:rPr>
              <w:t xml:space="preserve">: </w:t>
            </w:r>
          </w:p>
          <w:p w14:paraId="009D4EBF" w14:textId="6F962095" w:rsidR="007C27E4" w:rsidRDefault="009D19B1" w:rsidP="00FC057D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Face à la préoccupation du réseau</w:t>
            </w:r>
            <w:r w:rsidR="00761AF3">
              <w:rPr>
                <w:rFonts w:ascii="Times New Roman" w:hAnsi="Times New Roman"/>
                <w:color w:val="000000"/>
              </w:rPr>
              <w:t xml:space="preserve"> de la santé et des services sociaux</w:t>
            </w:r>
            <w:r w:rsidR="000F0AC1">
              <w:rPr>
                <w:rFonts w:ascii="Times New Roman" w:hAnsi="Times New Roman"/>
                <w:color w:val="000000"/>
              </w:rPr>
              <w:t> </w:t>
            </w:r>
            <w:r w:rsidR="00761AF3">
              <w:rPr>
                <w:rFonts w:ascii="Times New Roman" w:hAnsi="Times New Roman"/>
                <w:color w:val="000000"/>
              </w:rPr>
              <w:t>(RSSS)</w:t>
            </w:r>
            <w:r>
              <w:rPr>
                <w:rFonts w:ascii="Times New Roman" w:hAnsi="Times New Roman"/>
                <w:color w:val="000000"/>
              </w:rPr>
              <w:t xml:space="preserve"> relative</w:t>
            </w:r>
            <w:r w:rsidR="00C353F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à la baisse des activités, la mise en place du</w:t>
            </w:r>
            <w:r w:rsidR="005B3C0F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 xml:space="preserve">FAP </w:t>
            </w:r>
            <w:r w:rsidR="00FC057D">
              <w:rPr>
                <w:rFonts w:ascii="Times New Roman" w:hAnsi="Times New Roman"/>
                <w:color w:val="000000"/>
              </w:rPr>
              <w:t>2022</w:t>
            </w:r>
            <w:r w:rsidR="005B3C0F">
              <w:rPr>
                <w:rFonts w:ascii="Times New Roman" w:hAnsi="Times New Roman"/>
                <w:color w:val="000000"/>
              </w:rPr>
              <w:noBreakHyphen/>
            </w:r>
            <w:r w:rsidR="00FC057D">
              <w:rPr>
                <w:rFonts w:ascii="Times New Roman" w:hAnsi="Times New Roman"/>
                <w:color w:val="000000"/>
              </w:rPr>
              <w:t>2023</w:t>
            </w:r>
            <w:r w:rsidR="007C27E4">
              <w:rPr>
                <w:rFonts w:ascii="Times New Roman" w:hAnsi="Times New Roman"/>
                <w:color w:val="000000"/>
              </w:rPr>
              <w:t xml:space="preserve"> doit </w:t>
            </w:r>
            <w:r>
              <w:rPr>
                <w:rFonts w:ascii="Times New Roman" w:hAnsi="Times New Roman"/>
                <w:color w:val="000000"/>
              </w:rPr>
              <w:t xml:space="preserve">avoir un impact </w:t>
            </w:r>
            <w:r w:rsidR="00FC057D">
              <w:rPr>
                <w:rFonts w:ascii="Times New Roman" w:hAnsi="Times New Roman"/>
                <w:color w:val="000000"/>
              </w:rPr>
              <w:t xml:space="preserve">significatif sur le budget des établissements. </w:t>
            </w:r>
            <w:r w:rsidR="007C27E4">
              <w:rPr>
                <w:rFonts w:ascii="Times New Roman" w:hAnsi="Times New Roman"/>
                <w:color w:val="000000"/>
              </w:rPr>
              <w:t>Le</w:t>
            </w:r>
            <w:r w:rsidR="00C353F1">
              <w:rPr>
                <w:rFonts w:ascii="Times New Roman" w:hAnsi="Times New Roman"/>
                <w:color w:val="000000"/>
              </w:rPr>
              <w:t xml:space="preserve"> report de la mise en place du</w:t>
            </w:r>
            <w:r w:rsidR="005B3C0F">
              <w:rPr>
                <w:rFonts w:ascii="Times New Roman" w:hAnsi="Times New Roman"/>
                <w:color w:val="000000"/>
              </w:rPr>
              <w:t> </w:t>
            </w:r>
            <w:r w:rsidR="00C353F1">
              <w:rPr>
                <w:rFonts w:ascii="Times New Roman" w:hAnsi="Times New Roman"/>
                <w:color w:val="000000"/>
              </w:rPr>
              <w:t xml:space="preserve">FAP </w:t>
            </w:r>
            <w:r w:rsidR="007C27E4">
              <w:rPr>
                <w:rFonts w:ascii="Times New Roman" w:hAnsi="Times New Roman"/>
                <w:color w:val="000000"/>
              </w:rPr>
              <w:t xml:space="preserve">d’un an doit permettre </w:t>
            </w:r>
            <w:r w:rsidR="00F336FB">
              <w:rPr>
                <w:rFonts w:ascii="Times New Roman" w:hAnsi="Times New Roman"/>
                <w:color w:val="000000"/>
              </w:rPr>
              <w:t>de conjuguer le financement avec une meilleure reprise des activités.</w:t>
            </w:r>
            <w:r w:rsidR="00C353F1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C28488" w14:textId="77777777" w:rsidR="006B744C" w:rsidRDefault="00E0335A" w:rsidP="00B2699A">
            <w:pPr>
              <w:spacing w:before="60" w:after="120"/>
              <w:jc w:val="both"/>
              <w:rPr>
                <w:rFonts w:ascii="Times New Roman" w:hAnsi="Times New Roman"/>
                <w:color w:val="000000"/>
              </w:rPr>
            </w:pPr>
            <w:r w:rsidRPr="003104F3">
              <w:rPr>
                <w:rFonts w:ascii="Times New Roman" w:hAnsi="Times New Roman"/>
                <w:b/>
                <w:bCs/>
                <w:color w:val="000000"/>
              </w:rPr>
              <w:t>Enjeux ressources hum</w:t>
            </w:r>
            <w:r w:rsidR="003A5C6C" w:rsidRPr="003104F3">
              <w:rPr>
                <w:rFonts w:ascii="Times New Roman" w:hAnsi="Times New Roman"/>
                <w:b/>
                <w:bCs/>
                <w:color w:val="000000"/>
              </w:rPr>
              <w:t>aines</w:t>
            </w:r>
            <w:r w:rsidR="003A5C6C">
              <w:rPr>
                <w:rFonts w:ascii="Times New Roman" w:hAnsi="Times New Roman"/>
                <w:color w:val="000000"/>
              </w:rPr>
              <w:t xml:space="preserve"> : </w:t>
            </w:r>
          </w:p>
          <w:p w14:paraId="0F96041B" w14:textId="16B7EB28" w:rsidR="00E0335A" w:rsidRPr="00C2269D" w:rsidRDefault="00222351" w:rsidP="00B2699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3A5C6C">
              <w:rPr>
                <w:rFonts w:ascii="Times New Roman" w:hAnsi="Times New Roman"/>
                <w:color w:val="000000"/>
              </w:rPr>
              <w:t xml:space="preserve">ne plus grande part du continuum de soins </w:t>
            </w:r>
            <w:r w:rsidR="007C27E4">
              <w:rPr>
                <w:rFonts w:ascii="Times New Roman" w:hAnsi="Times New Roman"/>
                <w:color w:val="000000"/>
              </w:rPr>
              <w:t xml:space="preserve">et services </w:t>
            </w:r>
            <w:r w:rsidR="003A5C6C">
              <w:rPr>
                <w:rFonts w:ascii="Times New Roman" w:hAnsi="Times New Roman"/>
                <w:color w:val="000000"/>
              </w:rPr>
              <w:t>sera couvert</w:t>
            </w:r>
            <w:r w:rsidR="007C27E4">
              <w:rPr>
                <w:rFonts w:ascii="Times New Roman" w:hAnsi="Times New Roman"/>
                <w:color w:val="000000"/>
              </w:rPr>
              <w:t>e,</w:t>
            </w:r>
            <w:r w:rsidR="003A5C6C">
              <w:rPr>
                <w:rFonts w:ascii="Times New Roman" w:hAnsi="Times New Roman"/>
                <w:color w:val="000000"/>
              </w:rPr>
              <w:t xml:space="preserve"> afin de garantir la cohérence et l’optimisation de l’ensemble des services offerts</w:t>
            </w:r>
            <w:r w:rsidR="00481DD9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 xml:space="preserve">Une stratégie de collaboration plus soutenue est donc nécessaire </w:t>
            </w:r>
            <w:r w:rsidR="00B2699A">
              <w:rPr>
                <w:rFonts w:ascii="Times New Roman" w:hAnsi="Times New Roman"/>
                <w:color w:val="000000"/>
              </w:rPr>
              <w:t xml:space="preserve">avec </w:t>
            </w:r>
            <w:r w:rsidR="00834839">
              <w:rPr>
                <w:rFonts w:ascii="Times New Roman" w:hAnsi="Times New Roman"/>
                <w:color w:val="000000"/>
              </w:rPr>
              <w:t>les parties prenantes</w:t>
            </w:r>
            <w:r w:rsidR="00B90EA2">
              <w:rPr>
                <w:rFonts w:ascii="Times New Roman" w:hAnsi="Times New Roman"/>
                <w:color w:val="000000"/>
              </w:rPr>
              <w:t xml:space="preserve"> </w:t>
            </w:r>
            <w:r w:rsidR="00B90EA2" w:rsidRPr="00B90EA2">
              <w:rPr>
                <w:rFonts w:ascii="Times New Roman" w:hAnsi="Times New Roman"/>
                <w:color w:val="000000"/>
              </w:rPr>
              <w:t>dans la communication</w:t>
            </w:r>
            <w:r w:rsidR="00B90EA2">
              <w:rPr>
                <w:rFonts w:ascii="Times New Roman" w:hAnsi="Times New Roman"/>
                <w:color w:val="000000"/>
              </w:rPr>
              <w:t xml:space="preserve">, </w:t>
            </w:r>
            <w:r w:rsidR="00B90EA2" w:rsidRPr="00B90EA2">
              <w:rPr>
                <w:rFonts w:ascii="Times New Roman" w:hAnsi="Times New Roman"/>
                <w:color w:val="000000"/>
              </w:rPr>
              <w:t>la gestion du changement</w:t>
            </w:r>
            <w:r w:rsidR="007C27E4">
              <w:rPr>
                <w:rFonts w:ascii="Times New Roman" w:hAnsi="Times New Roman"/>
                <w:color w:val="000000"/>
              </w:rPr>
              <w:t>,</w:t>
            </w:r>
            <w:r w:rsidR="00B90EA2">
              <w:rPr>
                <w:rFonts w:ascii="Times New Roman" w:hAnsi="Times New Roman"/>
                <w:color w:val="000000"/>
              </w:rPr>
              <w:t xml:space="preserve"> ainsi que dans</w:t>
            </w:r>
            <w:r w:rsidR="00B90EA2" w:rsidRPr="00B90EA2">
              <w:rPr>
                <w:rFonts w:ascii="Times New Roman" w:hAnsi="Times New Roman"/>
                <w:color w:val="000000"/>
              </w:rPr>
              <w:t xml:space="preserve"> la mise en place et le suivi des indicateurs de performance du</w:t>
            </w:r>
            <w:r w:rsidR="005B3C0F">
              <w:rPr>
                <w:rFonts w:ascii="Times New Roman" w:hAnsi="Times New Roman"/>
                <w:color w:val="000000"/>
              </w:rPr>
              <w:t> </w:t>
            </w:r>
            <w:r w:rsidR="00761AF3">
              <w:rPr>
                <w:rFonts w:ascii="Times New Roman" w:hAnsi="Times New Roman"/>
                <w:color w:val="000000"/>
              </w:rPr>
              <w:t>RSSS</w:t>
            </w:r>
            <w:r w:rsidR="005D43CB">
              <w:rPr>
                <w:rFonts w:ascii="Times New Roman" w:hAnsi="Times New Roman"/>
                <w:color w:val="000000"/>
              </w:rPr>
              <w:t xml:space="preserve">. Un plan de communication est déjà en préparation pour assurer </w:t>
            </w:r>
            <w:r w:rsidR="00F66359">
              <w:rPr>
                <w:rFonts w:ascii="Times New Roman" w:hAnsi="Times New Roman"/>
                <w:color w:val="000000"/>
              </w:rPr>
              <w:t xml:space="preserve">l’uniformité et </w:t>
            </w:r>
            <w:r w:rsidR="005D43CB">
              <w:rPr>
                <w:rFonts w:ascii="Times New Roman" w:hAnsi="Times New Roman"/>
                <w:color w:val="000000"/>
              </w:rPr>
              <w:t xml:space="preserve">la cohérence </w:t>
            </w:r>
            <w:r w:rsidR="00295919">
              <w:rPr>
                <w:rFonts w:ascii="Times New Roman" w:hAnsi="Times New Roman"/>
                <w:color w:val="000000"/>
              </w:rPr>
              <w:t xml:space="preserve">des </w:t>
            </w:r>
            <w:r w:rsidR="005D43CB">
              <w:rPr>
                <w:rFonts w:ascii="Times New Roman" w:hAnsi="Times New Roman"/>
                <w:color w:val="000000"/>
              </w:rPr>
              <w:t>messages</w:t>
            </w:r>
            <w:r w:rsidR="00F66359">
              <w:rPr>
                <w:rFonts w:ascii="Times New Roman" w:hAnsi="Times New Roman"/>
                <w:color w:val="000000"/>
              </w:rPr>
              <w:t xml:space="preserve"> véhiculés</w:t>
            </w:r>
            <w:r w:rsidR="005D43CB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67A46959" w14:textId="77777777" w:rsidR="00E4444A" w:rsidRPr="004F2DCD" w:rsidRDefault="00E4444A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567"/>
        <w:gridCol w:w="2410"/>
        <w:gridCol w:w="567"/>
        <w:gridCol w:w="3118"/>
      </w:tblGrid>
      <w:tr w:rsidR="00AF7E83" w:rsidRPr="00DB41F6" w14:paraId="7136A4D3" w14:textId="77777777" w:rsidTr="005311F6">
        <w:trPr>
          <w:trHeight w:val="416"/>
          <w:tblHeader/>
        </w:trPr>
        <w:tc>
          <w:tcPr>
            <w:tcW w:w="9640" w:type="dxa"/>
            <w:gridSpan w:val="6"/>
            <w:shd w:val="clear" w:color="auto" w:fill="D9D9D9" w:themeFill="background1" w:themeFillShade="D9"/>
            <w:vAlign w:val="center"/>
          </w:tcPr>
          <w:p w14:paraId="296A61CC" w14:textId="77777777" w:rsidR="005040A5" w:rsidRPr="00DB41F6" w:rsidRDefault="005040A5" w:rsidP="005040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Liens avec :</w:t>
            </w:r>
          </w:p>
        </w:tc>
      </w:tr>
      <w:tr w:rsidR="00BD11E4" w:rsidRPr="00DB41F6" w14:paraId="0E17227B" w14:textId="77777777" w:rsidTr="00EF772D">
        <w:trPr>
          <w:trHeight w:val="582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5E2B10" w14:textId="36B8B3E4" w:rsidR="005040A5" w:rsidRPr="005040A5" w:rsidRDefault="00F6290E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</w:rPr>
                <w:id w:val="152852566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3C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040A5">
              <w:rPr>
                <w:rFonts w:ascii="Times New Roman" w:hAnsi="Times New Roman"/>
                <w:b/>
              </w:rPr>
              <w:t xml:space="preserve">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FA6DAC2" w14:textId="77777777" w:rsidR="005040A5" w:rsidRPr="005040A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 w:rsidRPr="005040A5">
              <w:rPr>
                <w:rFonts w:ascii="Times New Roman" w:hAnsi="Times New Roman"/>
                <w:b/>
              </w:rPr>
              <w:t xml:space="preserve">Plan </w:t>
            </w:r>
            <w:r>
              <w:rPr>
                <w:rFonts w:ascii="Times New Roman" w:hAnsi="Times New Roman"/>
                <w:b/>
              </w:rPr>
              <w:t>stratégique ministériel 201</w:t>
            </w:r>
            <w:r w:rsidR="00AC7CA3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-202</w:t>
            </w:r>
            <w:r w:rsidR="00AC7CA3">
              <w:rPr>
                <w:rFonts w:ascii="Times New Roman" w:hAnsi="Times New Roman"/>
                <w:b/>
              </w:rPr>
              <w:t>3</w:t>
            </w:r>
          </w:p>
        </w:tc>
        <w:sdt>
          <w:sdtPr>
            <w:rPr>
              <w:rFonts w:ascii="Times New Roman" w:hAnsi="Times New Roman"/>
              <w:b/>
            </w:rPr>
            <w:id w:val="718945250"/>
            <w:lock w:val="sdtLocked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right w:val="nil"/>
                </w:tcBorders>
                <w:shd w:val="clear" w:color="auto" w:fill="F2F2F2" w:themeFill="background1" w:themeFillShade="F2"/>
                <w:vAlign w:val="center"/>
              </w:tcPr>
              <w:p w14:paraId="2F230511" w14:textId="5D02C3C4" w:rsidR="005040A5" w:rsidRPr="005040A5" w:rsidRDefault="00D80CB1" w:rsidP="005040A5">
                <w:pPr>
                  <w:spacing w:before="60" w:after="60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D8626AE" w14:textId="77777777" w:rsidR="005040A5" w:rsidRPr="005040A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Ententes de gestion et d’imputabilité</w:t>
            </w:r>
          </w:p>
        </w:tc>
        <w:sdt>
          <w:sdtPr>
            <w:rPr>
              <w:rFonts w:ascii="Times New Roman" w:hAnsi="Times New Roman"/>
              <w:b/>
            </w:rPr>
            <w:id w:val="-1254733501"/>
            <w:lock w:val="sdtLocked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right w:val="nil"/>
                </w:tcBorders>
                <w:shd w:val="clear" w:color="auto" w:fill="F2F2F2" w:themeFill="background1" w:themeFillShade="F2"/>
                <w:vAlign w:val="center"/>
              </w:tcPr>
              <w:p w14:paraId="4E86C251" w14:textId="38598553" w:rsidR="005040A5" w:rsidRPr="005040A5" w:rsidRDefault="005410E9" w:rsidP="005040A5">
                <w:pPr>
                  <w:spacing w:before="60" w:after="60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311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2D986DA" w14:textId="77777777" w:rsidR="005040A5" w:rsidRPr="005040A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Lois, règlements, directives ministérielles, circulaires, etc.</w:t>
            </w:r>
          </w:p>
        </w:tc>
      </w:tr>
      <w:tr w:rsidR="00B56D22" w:rsidRPr="00DB41F6" w14:paraId="14A6DA1B" w14:textId="77777777" w:rsidTr="005040A5">
        <w:trPr>
          <w:trHeight w:val="390"/>
        </w:trPr>
        <w:tc>
          <w:tcPr>
            <w:tcW w:w="9640" w:type="dxa"/>
            <w:gridSpan w:val="6"/>
            <w:shd w:val="clear" w:color="auto" w:fill="D9D9D9" w:themeFill="background1" w:themeFillShade="D9"/>
            <w:vAlign w:val="center"/>
          </w:tcPr>
          <w:p w14:paraId="28926E86" w14:textId="2779DEFF" w:rsidR="005040A5" w:rsidRPr="00DB41F6" w:rsidRDefault="005040A5" w:rsidP="005040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Prise en compte des principes de développement durable (CODIR) :</w:t>
            </w:r>
            <w:r w:rsidR="005B2F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Style w:val="Style3"/>
                </w:rPr>
                <w:id w:val="-1312247026"/>
                <w:lock w:val="sdtLocked"/>
                <w:dropDownList>
                  <w:listItem w:value="Choisissez un élément."/>
                  <w:listItem w:displayText="Oui" w:value="Oui"/>
                  <w:listItem w:displayText="Non" w:value="Non"/>
                  <w:listItem w:displayText="Ne s'applique pas" w:value="Ne s'applique pas"/>
                </w:dropDownList>
              </w:sdtPr>
              <w:sdtEndPr>
                <w:rPr>
                  <w:rStyle w:val="Policepardfaut"/>
                  <w:rFonts w:ascii="Calibri" w:hAnsi="Calibri"/>
                  <w:b/>
                  <w:sz w:val="24"/>
                  <w:szCs w:val="24"/>
                </w:rPr>
              </w:sdtEndPr>
              <w:sdtContent>
                <w:r w:rsidR="005204BD">
                  <w:rPr>
                    <w:rStyle w:val="Style3"/>
                  </w:rPr>
                  <w:t>Ne s'applique pas</w:t>
                </w:r>
              </w:sdtContent>
            </w:sdt>
          </w:p>
        </w:tc>
      </w:tr>
      <w:tr w:rsidR="00B86E70" w:rsidRPr="00DB41F6" w14:paraId="7B93AB7E" w14:textId="77777777" w:rsidTr="005040A5">
        <w:trPr>
          <w:trHeight w:val="327"/>
        </w:trPr>
        <w:tc>
          <w:tcPr>
            <w:tcW w:w="9640" w:type="dxa"/>
            <w:gridSpan w:val="6"/>
            <w:shd w:val="clear" w:color="auto" w:fill="auto"/>
            <w:vAlign w:val="center"/>
          </w:tcPr>
          <w:p w14:paraId="600A05F7" w14:textId="5B16B180" w:rsidR="005040A5" w:rsidRPr="00DB41F6" w:rsidRDefault="00E50C31" w:rsidP="005B2F45">
            <w:pPr>
              <w:spacing w:before="6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S/O</w:t>
            </w:r>
          </w:p>
        </w:tc>
      </w:tr>
    </w:tbl>
    <w:p w14:paraId="6B270E03" w14:textId="77777777" w:rsidR="005040A5" w:rsidRPr="004F2DCD" w:rsidRDefault="005040A5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F7E83" w:rsidRPr="00DB41F6" w14:paraId="5391BC15" w14:textId="77777777" w:rsidTr="2D67598A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54517210" w14:textId="77777777" w:rsidR="005B2F45" w:rsidRPr="00DB41F6" w:rsidRDefault="00D42F49" w:rsidP="00C332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Étapes franchies – g</w:t>
            </w:r>
            <w:r w:rsidR="005B2F45">
              <w:rPr>
                <w:rFonts w:ascii="Times New Roman" w:hAnsi="Times New Roman"/>
                <w:b/>
                <w:sz w:val="24"/>
                <w:szCs w:val="24"/>
              </w:rPr>
              <w:t>roupes consultés</w:t>
            </w:r>
          </w:p>
        </w:tc>
      </w:tr>
      <w:tr w:rsidR="00B86E70" w:rsidRPr="00DB41F6" w14:paraId="4BB5CD19" w14:textId="77777777" w:rsidTr="2D67598A">
        <w:trPr>
          <w:trHeight w:val="614"/>
        </w:trPr>
        <w:tc>
          <w:tcPr>
            <w:tcW w:w="9640" w:type="dxa"/>
            <w:shd w:val="clear" w:color="auto" w:fill="auto"/>
            <w:vAlign w:val="center"/>
          </w:tcPr>
          <w:p w14:paraId="6AFDC454" w14:textId="45019603" w:rsidR="00F062E0" w:rsidRDefault="00480739" w:rsidP="007C27E4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318" w:hanging="284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Les membres du</w:t>
            </w:r>
            <w:r w:rsidR="005D0928">
              <w:rPr>
                <w:rFonts w:ascii="Times New Roman" w:hAnsi="Times New Roman"/>
              </w:rPr>
              <w:t> </w:t>
            </w:r>
            <w:r w:rsidR="005204BD">
              <w:rPr>
                <w:rFonts w:ascii="Times New Roman" w:hAnsi="Times New Roman"/>
              </w:rPr>
              <w:t>CCR</w:t>
            </w:r>
            <w:r w:rsidR="00F062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ont été consultés</w:t>
            </w:r>
            <w:r w:rsidR="003536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6B744C">
              <w:rPr>
                <w:rFonts w:ascii="Times New Roman" w:hAnsi="Times New Roman"/>
              </w:rPr>
              <w:t>ils</w:t>
            </w:r>
            <w:r>
              <w:rPr>
                <w:rFonts w:ascii="Times New Roman" w:hAnsi="Times New Roman"/>
              </w:rPr>
              <w:t xml:space="preserve"> collaborent et</w:t>
            </w:r>
            <w:r w:rsidR="00F062E0">
              <w:rPr>
                <w:rFonts w:ascii="Times New Roman" w:hAnsi="Times New Roman"/>
              </w:rPr>
              <w:t xml:space="preserve"> propose</w:t>
            </w:r>
            <w:r>
              <w:rPr>
                <w:rFonts w:ascii="Times New Roman" w:hAnsi="Times New Roman"/>
              </w:rPr>
              <w:t>nt</w:t>
            </w:r>
            <w:r w:rsidR="00F062E0">
              <w:rPr>
                <w:rFonts w:ascii="Times New Roman" w:hAnsi="Times New Roman"/>
              </w:rPr>
              <w:t xml:space="preserve"> des solutions aux enjeux reliés à la mise en place du</w:t>
            </w:r>
            <w:r w:rsidR="003536B0">
              <w:rPr>
                <w:rFonts w:ascii="Times New Roman" w:hAnsi="Times New Roman"/>
              </w:rPr>
              <w:t> </w:t>
            </w:r>
            <w:r w:rsidR="00F062E0">
              <w:rPr>
                <w:rFonts w:ascii="Times New Roman" w:hAnsi="Times New Roman"/>
              </w:rPr>
              <w:t>FAP;</w:t>
            </w:r>
          </w:p>
          <w:p w14:paraId="2AAFA55D" w14:textId="2DB9CD95" w:rsidR="00480739" w:rsidRDefault="00480739" w:rsidP="007C27E4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318" w:hanging="284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 </w:t>
            </w:r>
            <w:r w:rsidRPr="00480739">
              <w:rPr>
                <w:rFonts w:ascii="Times New Roman" w:hAnsi="Times New Roman"/>
              </w:rPr>
              <w:t>Direction générale des affaires universitaires, médicales, infirmières et pharmaceutiques</w:t>
            </w:r>
            <w:r>
              <w:rPr>
                <w:rFonts w:ascii="Times New Roman" w:hAnsi="Times New Roman"/>
              </w:rPr>
              <w:t xml:space="preserve"> a été consultée</w:t>
            </w:r>
            <w:r w:rsidRPr="004807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et collabore à</w:t>
            </w:r>
            <w:r w:rsidR="00EF37DA">
              <w:rPr>
                <w:rFonts w:ascii="Times New Roman" w:hAnsi="Times New Roman"/>
              </w:rPr>
              <w:t xml:space="preserve"> l’élaboration et </w:t>
            </w:r>
            <w:r w:rsidR="003536B0">
              <w:rPr>
                <w:rFonts w:ascii="Times New Roman" w:hAnsi="Times New Roman"/>
              </w:rPr>
              <w:t xml:space="preserve">à </w:t>
            </w:r>
            <w:r w:rsidR="00EF37DA">
              <w:rPr>
                <w:rFonts w:ascii="Times New Roman" w:hAnsi="Times New Roman"/>
              </w:rPr>
              <w:t>la bonification des modèles de financement de la chirurgie, l</w:t>
            </w:r>
            <w:r>
              <w:rPr>
                <w:rFonts w:ascii="Times New Roman" w:hAnsi="Times New Roman"/>
              </w:rPr>
              <w:t>’o</w:t>
            </w:r>
            <w:r w:rsidR="00EF37DA">
              <w:rPr>
                <w:rFonts w:ascii="Times New Roman" w:hAnsi="Times New Roman"/>
              </w:rPr>
              <w:t>bstétrique, la néonatologie et la cardiologie tertiaire;</w:t>
            </w:r>
          </w:p>
          <w:p w14:paraId="5C8F6CDE" w14:textId="31813C34" w:rsidR="003C2CCF" w:rsidRPr="005504BD" w:rsidRDefault="006B744C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318" w:hanging="284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</w:t>
            </w:r>
            <w:r w:rsidR="00424537">
              <w:rPr>
                <w:rFonts w:ascii="Times New Roman" w:eastAsia="Times New Roman" w:hAnsi="Times New Roman"/>
              </w:rPr>
              <w:t>es travaux d’</w:t>
            </w:r>
            <w:r w:rsidR="00A80435">
              <w:rPr>
                <w:rFonts w:ascii="Times New Roman" w:eastAsia="Times New Roman" w:hAnsi="Times New Roman"/>
              </w:rPr>
              <w:t>a</w:t>
            </w:r>
            <w:r w:rsidR="00480739">
              <w:rPr>
                <w:rFonts w:ascii="Times New Roman" w:eastAsia="Times New Roman" w:hAnsi="Times New Roman"/>
              </w:rPr>
              <w:t xml:space="preserve">ccompagnement </w:t>
            </w:r>
            <w:r w:rsidR="00C353F1">
              <w:rPr>
                <w:rFonts w:ascii="Times New Roman" w:eastAsia="Times New Roman" w:hAnsi="Times New Roman"/>
              </w:rPr>
              <w:t>pour la mise en place du</w:t>
            </w:r>
            <w:r w:rsidR="003536B0">
              <w:rPr>
                <w:rFonts w:ascii="Times New Roman" w:eastAsia="Times New Roman" w:hAnsi="Times New Roman"/>
              </w:rPr>
              <w:t> </w:t>
            </w:r>
            <w:r w:rsidR="00C353F1">
              <w:rPr>
                <w:rFonts w:ascii="Times New Roman" w:eastAsia="Times New Roman" w:hAnsi="Times New Roman"/>
              </w:rPr>
              <w:t xml:space="preserve">FAP </w:t>
            </w:r>
            <w:r w:rsidR="00480739">
              <w:rPr>
                <w:rFonts w:ascii="Times New Roman" w:eastAsia="Times New Roman" w:hAnsi="Times New Roman"/>
              </w:rPr>
              <w:t xml:space="preserve">et </w:t>
            </w:r>
            <w:r w:rsidR="00424537">
              <w:rPr>
                <w:rFonts w:ascii="Times New Roman" w:eastAsia="Times New Roman" w:hAnsi="Times New Roman"/>
              </w:rPr>
              <w:t xml:space="preserve">du </w:t>
            </w:r>
            <w:r w:rsidR="00480739">
              <w:rPr>
                <w:rFonts w:ascii="Times New Roman" w:eastAsia="Times New Roman" w:hAnsi="Times New Roman"/>
              </w:rPr>
              <w:t xml:space="preserve">suivi </w:t>
            </w:r>
            <w:r w:rsidR="0076678B">
              <w:rPr>
                <w:rFonts w:ascii="Times New Roman" w:eastAsia="Times New Roman" w:hAnsi="Times New Roman"/>
              </w:rPr>
              <w:t xml:space="preserve">des indicateurs de performance </w:t>
            </w:r>
            <w:r w:rsidR="00480739">
              <w:rPr>
                <w:rFonts w:ascii="Times New Roman" w:eastAsia="Times New Roman" w:hAnsi="Times New Roman"/>
              </w:rPr>
              <w:t>d</w:t>
            </w:r>
            <w:r w:rsidR="00A53A31" w:rsidRPr="00BA69AE">
              <w:rPr>
                <w:rFonts w:ascii="Times New Roman" w:eastAsia="Times New Roman" w:hAnsi="Times New Roman"/>
              </w:rPr>
              <w:t>es établissements</w:t>
            </w:r>
            <w:r w:rsidR="00A96EBD">
              <w:rPr>
                <w:rFonts w:ascii="Times New Roman" w:eastAsia="Times New Roman" w:hAnsi="Times New Roman"/>
              </w:rPr>
              <w:t xml:space="preserve"> </w:t>
            </w:r>
            <w:r w:rsidR="00C353F1">
              <w:rPr>
                <w:rFonts w:ascii="Times New Roman" w:eastAsia="Times New Roman" w:hAnsi="Times New Roman"/>
              </w:rPr>
              <w:t xml:space="preserve">ont </w:t>
            </w:r>
            <w:r w:rsidR="00A96EBD">
              <w:rPr>
                <w:rFonts w:ascii="Times New Roman" w:eastAsia="Times New Roman" w:hAnsi="Times New Roman"/>
              </w:rPr>
              <w:t>déjà commencé</w:t>
            </w:r>
            <w:r w:rsidR="007C27E4">
              <w:rPr>
                <w:rFonts w:ascii="Times New Roman" w:eastAsia="Times New Roman" w:hAnsi="Times New Roman"/>
              </w:rPr>
              <w:t>, p</w:t>
            </w:r>
            <w:r w:rsidR="00A53A31" w:rsidRPr="00BA69AE">
              <w:rPr>
                <w:rFonts w:ascii="Times New Roman" w:eastAsia="Times New Roman" w:hAnsi="Times New Roman"/>
              </w:rPr>
              <w:t xml:space="preserve">articulièrement pour </w:t>
            </w:r>
            <w:r w:rsidR="00DE7726">
              <w:rPr>
                <w:rFonts w:ascii="Times New Roman" w:eastAsia="Times New Roman" w:hAnsi="Times New Roman"/>
              </w:rPr>
              <w:t>les travaux</w:t>
            </w:r>
            <w:r w:rsidR="00A53A31" w:rsidRPr="00BA69AE">
              <w:rPr>
                <w:rFonts w:ascii="Times New Roman" w:eastAsia="Times New Roman" w:hAnsi="Times New Roman"/>
              </w:rPr>
              <w:t xml:space="preserve"> où l’impact financier est le </w:t>
            </w:r>
            <w:r w:rsidR="00A53A31" w:rsidRPr="005504BD">
              <w:rPr>
                <w:rFonts w:ascii="Times New Roman" w:hAnsi="Times New Roman"/>
              </w:rPr>
              <w:t>plus significatif</w:t>
            </w:r>
            <w:r w:rsidR="003536B0" w:rsidRPr="005504BD">
              <w:rPr>
                <w:rFonts w:ascii="Times New Roman" w:hAnsi="Times New Roman"/>
              </w:rPr>
              <w:t>;</w:t>
            </w:r>
          </w:p>
          <w:p w14:paraId="18E95D87" w14:textId="0D180F5E" w:rsidR="004735D9" w:rsidRPr="000F0AC1" w:rsidRDefault="004735D9" w:rsidP="006557EE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318" w:hanging="284"/>
              <w:contextualSpacing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Une présentation a été faite au Comité des ressources financières, de façon à permettre aux établissements de disposer rapidement des alignements requis pour la préparation de leur budget</w:t>
            </w:r>
            <w:r w:rsidR="003536B0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2022</w:t>
            </w:r>
            <w:r w:rsidR="003536B0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>2023</w:t>
            </w:r>
            <w:r w:rsidR="00D75536">
              <w:rPr>
                <w:rFonts w:ascii="Times New Roman" w:hAnsi="Times New Roman"/>
              </w:rPr>
              <w:t>.</w:t>
            </w:r>
          </w:p>
        </w:tc>
      </w:tr>
    </w:tbl>
    <w:p w14:paraId="188A15BF" w14:textId="77777777" w:rsidR="005B2F45" w:rsidRPr="004F2DCD" w:rsidRDefault="005B2F45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AF7E83" w:rsidRPr="00DB41F6" w14:paraId="7C92F397" w14:textId="77777777" w:rsidTr="005311F6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0470F5D1" w14:textId="77777777" w:rsidR="005B2F45" w:rsidRPr="00DB41F6" w:rsidRDefault="005B2F45" w:rsidP="005B2F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Étapes à venir</w:t>
            </w:r>
          </w:p>
        </w:tc>
      </w:tr>
      <w:tr w:rsidR="00B86E70" w:rsidRPr="00DB41F6" w14:paraId="5BCDCC43" w14:textId="77777777" w:rsidTr="00AD27E4">
        <w:trPr>
          <w:trHeight w:val="614"/>
        </w:trPr>
        <w:tc>
          <w:tcPr>
            <w:tcW w:w="9640" w:type="dxa"/>
            <w:shd w:val="clear" w:color="auto" w:fill="auto"/>
            <w:vAlign w:val="center"/>
          </w:tcPr>
          <w:p w14:paraId="4A1F275E" w14:textId="6F124D41" w:rsidR="00A16578" w:rsidRDefault="00FC391E" w:rsidP="00A34F6C">
            <w:pPr>
              <w:pStyle w:val="Paragraphedeliste"/>
              <w:numPr>
                <w:ilvl w:val="0"/>
                <w:numId w:val="1"/>
              </w:num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Activités majeures de</w:t>
            </w:r>
            <w:r w:rsidR="00D768E4">
              <w:rPr>
                <w:rFonts w:ascii="Times New Roman" w:hAnsi="Times New Roman"/>
              </w:rPr>
              <w:t xml:space="preserve"> l’année financière</w:t>
            </w:r>
            <w:r w:rsidR="0078309F">
              <w:rPr>
                <w:rFonts w:ascii="Times New Roman" w:hAnsi="Times New Roman"/>
              </w:rPr>
              <w:t> </w:t>
            </w:r>
            <w:r w:rsidR="00D511C3">
              <w:rPr>
                <w:rFonts w:ascii="Times New Roman" w:hAnsi="Times New Roman"/>
              </w:rPr>
              <w:t>2022</w:t>
            </w:r>
            <w:r w:rsidR="00782F15">
              <w:rPr>
                <w:rFonts w:ascii="Times New Roman" w:hAnsi="Times New Roman"/>
              </w:rPr>
              <w:noBreakHyphen/>
            </w:r>
            <w:r w:rsidR="00D511C3">
              <w:rPr>
                <w:rFonts w:ascii="Times New Roman" w:hAnsi="Times New Roman"/>
              </w:rPr>
              <w:t>2023</w:t>
            </w:r>
            <w:r w:rsidR="00A16578">
              <w:rPr>
                <w:rFonts w:ascii="Times New Roman" w:hAnsi="Times New Roman"/>
              </w:rPr>
              <w:t xml:space="preserve"> : </w:t>
            </w:r>
          </w:p>
          <w:p w14:paraId="7A9C62E7" w14:textId="41A23BA8" w:rsidR="00D03390" w:rsidRDefault="00EF37DA" w:rsidP="00986604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Pilotage de la mécanique du modèle de financement de</w:t>
            </w:r>
            <w:r w:rsidR="00D03390">
              <w:rPr>
                <w:rFonts w:ascii="Times New Roman" w:hAnsi="Times New Roman"/>
              </w:rPr>
              <w:t xml:space="preserve"> la chirurgie</w:t>
            </w:r>
            <w:r w:rsidR="007C27E4">
              <w:rPr>
                <w:rFonts w:ascii="Times New Roman" w:hAnsi="Times New Roman"/>
              </w:rPr>
              <w:t>,</w:t>
            </w:r>
            <w:r w:rsidR="00A96EBD">
              <w:rPr>
                <w:rFonts w:ascii="Times New Roman" w:hAnsi="Times New Roman"/>
              </w:rPr>
              <w:t xml:space="preserve"> incluant un accompagnement et un suivi auprès des établissements</w:t>
            </w:r>
            <w:r w:rsidR="00FC391E">
              <w:rPr>
                <w:rFonts w:ascii="Times New Roman" w:hAnsi="Times New Roman"/>
              </w:rPr>
              <w:t>;</w:t>
            </w:r>
          </w:p>
          <w:p w14:paraId="202401EE" w14:textId="2F63CA79" w:rsidR="00D03390" w:rsidRDefault="00D03390" w:rsidP="00986604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Simulation </w:t>
            </w:r>
            <w:r w:rsidR="00EF37DA">
              <w:rPr>
                <w:rFonts w:ascii="Times New Roman" w:hAnsi="Times New Roman"/>
              </w:rPr>
              <w:t>et pilotage mécanique</w:t>
            </w:r>
            <w:r>
              <w:rPr>
                <w:rFonts w:ascii="Times New Roman" w:hAnsi="Times New Roman"/>
              </w:rPr>
              <w:t xml:space="preserve"> des modèles</w:t>
            </w:r>
            <w:r w:rsidR="0098660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FAP pour la cardiologie tertiaire (</w:t>
            </w:r>
            <w:proofErr w:type="spellStart"/>
            <w:r>
              <w:rPr>
                <w:rFonts w:ascii="Times New Roman" w:hAnsi="Times New Roman"/>
              </w:rPr>
              <w:t>hémodynamie</w:t>
            </w:r>
            <w:proofErr w:type="spellEnd"/>
            <w:r>
              <w:rPr>
                <w:rFonts w:ascii="Times New Roman" w:hAnsi="Times New Roman"/>
              </w:rPr>
              <w:t xml:space="preserve"> et électrophysiologie interventionnelle), l’obstétrique et la néonatalogie</w:t>
            </w:r>
            <w:r w:rsidR="00FC391E">
              <w:rPr>
                <w:rFonts w:ascii="Times New Roman" w:hAnsi="Times New Roman"/>
              </w:rPr>
              <w:t>;</w:t>
            </w:r>
          </w:p>
          <w:p w14:paraId="024578E5" w14:textId="74883B44" w:rsidR="00EF37DA" w:rsidRDefault="00EF37DA" w:rsidP="00986604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Consolidation du plan de communication;</w:t>
            </w:r>
          </w:p>
          <w:p w14:paraId="295696D7" w14:textId="2C2ABB17" w:rsidR="00EF37DA" w:rsidRDefault="00EF37DA" w:rsidP="00986604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Implication du</w:t>
            </w:r>
            <w:r w:rsidR="00782F1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RSSS dans les travaux d’amélioration des modèles de financement</w:t>
            </w:r>
            <w:r w:rsidR="00761AF3">
              <w:rPr>
                <w:rFonts w:ascii="Times New Roman" w:hAnsi="Times New Roman"/>
              </w:rPr>
              <w:t>.</w:t>
            </w:r>
          </w:p>
          <w:p w14:paraId="776D016E" w14:textId="77777777" w:rsidR="007C27E4" w:rsidRDefault="007C27E4" w:rsidP="007C27E4">
            <w:pPr>
              <w:pStyle w:val="Paragraphedeliste"/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</w:p>
          <w:p w14:paraId="055EF08D" w14:textId="7E581A39" w:rsidR="006B744C" w:rsidRDefault="005F1F02" w:rsidP="005F1F02">
            <w:pPr>
              <w:pStyle w:val="Paragraphedeliste"/>
              <w:numPr>
                <w:ilvl w:val="0"/>
                <w:numId w:val="1"/>
              </w:num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Activités majeures de l’année financière</w:t>
            </w:r>
            <w:r w:rsidR="0078309F">
              <w:rPr>
                <w:rFonts w:ascii="Times New Roman" w:hAnsi="Times New Roman"/>
              </w:rPr>
              <w:t> </w:t>
            </w:r>
            <w:r w:rsidR="00D511C3">
              <w:rPr>
                <w:rFonts w:ascii="Times New Roman" w:hAnsi="Times New Roman"/>
              </w:rPr>
              <w:t>2023</w:t>
            </w:r>
            <w:r w:rsidR="00782F15">
              <w:rPr>
                <w:rFonts w:ascii="Times New Roman" w:hAnsi="Times New Roman"/>
              </w:rPr>
              <w:noBreakHyphen/>
            </w:r>
            <w:r w:rsidR="00D511C3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 : </w:t>
            </w:r>
          </w:p>
          <w:p w14:paraId="7CCF9B7D" w14:textId="1F0A9820" w:rsidR="00A02F69" w:rsidRDefault="006B744C" w:rsidP="00A02F69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="003D5C7E">
              <w:rPr>
                <w:rFonts w:ascii="Times New Roman" w:hAnsi="Times New Roman"/>
              </w:rPr>
              <w:t>in du programme québécois d’accès à la chirurgie</w:t>
            </w:r>
            <w:r w:rsidR="00A02F69">
              <w:rPr>
                <w:rFonts w:ascii="Times New Roman" w:hAnsi="Times New Roman"/>
              </w:rPr>
              <w:t>;</w:t>
            </w:r>
            <w:r w:rsidR="003D5C7E">
              <w:rPr>
                <w:rFonts w:ascii="Times New Roman" w:hAnsi="Times New Roman"/>
              </w:rPr>
              <w:t xml:space="preserve"> </w:t>
            </w:r>
          </w:p>
          <w:p w14:paraId="706C3A58" w14:textId="747AC050" w:rsidR="005F1F02" w:rsidRDefault="003D5C7E" w:rsidP="00A02F69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Mise en place du</w:t>
            </w:r>
            <w:r w:rsidR="0098660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FAP chirurgie, avec la cardiologie tertiaire, l’obstétrique et la néonatalogie</w:t>
            </w:r>
            <w:r w:rsidR="00A02F69">
              <w:rPr>
                <w:rFonts w:ascii="Times New Roman" w:hAnsi="Times New Roman"/>
              </w:rPr>
              <w:t>;</w:t>
            </w:r>
          </w:p>
          <w:p w14:paraId="125917C1" w14:textId="64437AA0" w:rsidR="00A02F69" w:rsidRDefault="007672E8" w:rsidP="00A02F69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Travaux avec les établissements afin d’améliorer les modèles, et apporter certains ajustements pour l’année financière suivante</w:t>
            </w:r>
            <w:r w:rsidR="00761AF3">
              <w:rPr>
                <w:rFonts w:ascii="Times New Roman" w:hAnsi="Times New Roman"/>
              </w:rPr>
              <w:t>;</w:t>
            </w:r>
          </w:p>
          <w:p w14:paraId="76A5B14D" w14:textId="77777777" w:rsidR="00D03390" w:rsidRDefault="007672E8" w:rsidP="007C27E4">
            <w:pPr>
              <w:pStyle w:val="Paragraphedeliste"/>
              <w:numPr>
                <w:ilvl w:val="1"/>
                <w:numId w:val="1"/>
              </w:numPr>
              <w:spacing w:before="60" w:after="120"/>
              <w:ind w:left="7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Mise en place d’audit</w:t>
            </w:r>
            <w:r w:rsidR="00761AF3">
              <w:rPr>
                <w:rFonts w:ascii="Times New Roman" w:hAnsi="Times New Roman"/>
              </w:rPr>
              <w:t>.</w:t>
            </w:r>
          </w:p>
          <w:p w14:paraId="57B17DC8" w14:textId="33375A1A" w:rsidR="007C27E4" w:rsidRDefault="007C27E4" w:rsidP="007C27E4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Suivi </w:t>
            </w:r>
            <w:r w:rsidR="00EB596C">
              <w:rPr>
                <w:rFonts w:ascii="Times New Roman" w:hAnsi="Times New Roman"/>
              </w:rPr>
              <w:t>visé</w:t>
            </w:r>
            <w:r w:rsidR="00782F1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:</w:t>
            </w:r>
          </w:p>
          <w:p w14:paraId="51C740AC" w14:textId="6D8869F0" w:rsidR="007C27E4" w:rsidRDefault="007C27E4" w:rsidP="007C27E4">
            <w:pPr>
              <w:pStyle w:val="Paragraphedeliste"/>
              <w:numPr>
                <w:ilvl w:val="0"/>
                <w:numId w:val="1"/>
              </w:num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Présentation et échange en</w:t>
            </w:r>
            <w:r w:rsidR="00782F1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CGR spécial aussi rapidement que possible</w:t>
            </w:r>
            <w:r w:rsidR="00782F15">
              <w:rPr>
                <w:rFonts w:ascii="Times New Roman" w:hAnsi="Times New Roman"/>
              </w:rPr>
              <w:t>.</w:t>
            </w:r>
          </w:p>
          <w:p w14:paraId="2C97EF8D" w14:textId="1A4CC628" w:rsidR="007C27E4" w:rsidRPr="007C27E4" w:rsidRDefault="007C27E4" w:rsidP="001E2D9C">
            <w:pPr>
              <w:pStyle w:val="Paragraphedeliste"/>
              <w:spacing w:before="60" w:after="120"/>
              <w:ind w:left="360"/>
              <w:jc w:val="both"/>
              <w:rPr>
                <w:rFonts w:ascii="Times New Roman" w:hAnsi="Times New Roman"/>
              </w:rPr>
            </w:pPr>
          </w:p>
        </w:tc>
      </w:tr>
    </w:tbl>
    <w:p w14:paraId="01221098" w14:textId="77777777" w:rsidR="005B2F45" w:rsidRPr="004F2DCD" w:rsidRDefault="005B2F45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AF7E83" w:rsidRPr="00DB41F6" w14:paraId="32373D0C" w14:textId="77777777" w:rsidTr="005311F6">
        <w:trPr>
          <w:trHeight w:val="416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12E33A10" w14:textId="77777777" w:rsidR="00EF772D" w:rsidRPr="00DB41F6" w:rsidRDefault="00EF772D" w:rsidP="00C332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Interventions attendues</w:t>
            </w:r>
          </w:p>
        </w:tc>
      </w:tr>
      <w:tr w:rsidR="00252A50" w:rsidRPr="00DB41F6" w14:paraId="3DEFA251" w14:textId="77777777" w:rsidTr="00874685">
        <w:trPr>
          <w:trHeight w:val="436"/>
        </w:trPr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C2DD469" w14:textId="050D4069" w:rsidR="00F65CA8" w:rsidRPr="00EF772D" w:rsidRDefault="00F65CA8" w:rsidP="00874685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 MSSS (CODIR/CGR)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53A7036" w14:textId="77777777" w:rsidR="00F65CA8" w:rsidRPr="00EF772D" w:rsidRDefault="00F65CA8" w:rsidP="00874685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 PDG ou établissements (CGR)</w:t>
            </w:r>
          </w:p>
        </w:tc>
      </w:tr>
      <w:tr w:rsidR="00DF255C" w:rsidRPr="00DB41F6" w14:paraId="6E7E9A29" w14:textId="77777777" w:rsidTr="00874685">
        <w:trPr>
          <w:trHeight w:val="436"/>
        </w:trPr>
        <w:tc>
          <w:tcPr>
            <w:tcW w:w="4820" w:type="dxa"/>
            <w:shd w:val="clear" w:color="auto" w:fill="auto"/>
          </w:tcPr>
          <w:p w14:paraId="2D32E5BA" w14:textId="2226000F" w:rsidR="00DF255C" w:rsidRPr="00EB596C" w:rsidRDefault="00DF255C" w:rsidP="00EB596C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4820" w:type="dxa"/>
            <w:shd w:val="clear" w:color="auto" w:fill="auto"/>
          </w:tcPr>
          <w:p w14:paraId="14A3E46B" w14:textId="4C615CB7" w:rsidR="00DF255C" w:rsidRPr="00874685" w:rsidRDefault="00DF255C" w:rsidP="005204BD">
            <w:pPr>
              <w:pStyle w:val="Paragraphedeliste"/>
              <w:numPr>
                <w:ilvl w:val="0"/>
                <w:numId w:val="1"/>
              </w:numPr>
              <w:spacing w:before="60" w:after="120"/>
              <w:ind w:left="318" w:hanging="318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Collaborer à </w:t>
            </w:r>
            <w:r w:rsidR="00834839">
              <w:rPr>
                <w:rFonts w:ascii="Times New Roman" w:hAnsi="Times New Roman"/>
              </w:rPr>
              <w:t>la diffusion du plan et susciter la collaboration active des représentants cliniques et financiers</w:t>
            </w:r>
          </w:p>
        </w:tc>
      </w:tr>
    </w:tbl>
    <w:p w14:paraId="09ED0711" w14:textId="77777777" w:rsidR="00EF772D" w:rsidRPr="004F2DCD" w:rsidRDefault="00EF772D" w:rsidP="004F2DCD">
      <w:pPr>
        <w:spacing w:after="0" w:line="240" w:lineRule="auto"/>
        <w:rPr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22"/>
        <w:gridCol w:w="3118"/>
      </w:tblGrid>
      <w:tr w:rsidR="00AF7E83" w:rsidRPr="00DB41F6" w14:paraId="34D67FC6" w14:textId="77777777" w:rsidTr="005311F6">
        <w:trPr>
          <w:trHeight w:val="416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534C781" w14:textId="4C548881" w:rsidR="00A86BF6" w:rsidRPr="00DB41F6" w:rsidRDefault="00A86BF6" w:rsidP="00C332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Lu et approuvé par :</w:t>
            </w:r>
          </w:p>
        </w:tc>
      </w:tr>
      <w:tr w:rsidR="00DD7CC2" w:rsidRPr="00DB41F6" w14:paraId="17C93B8B" w14:textId="77777777" w:rsidTr="00D948AB">
        <w:trPr>
          <w:trHeight w:val="549"/>
        </w:trPr>
        <w:tc>
          <w:tcPr>
            <w:tcW w:w="6522" w:type="dxa"/>
            <w:tcBorders>
              <w:bottom w:val="nil"/>
            </w:tcBorders>
            <w:shd w:val="clear" w:color="auto" w:fill="auto"/>
            <w:vAlign w:val="bottom"/>
          </w:tcPr>
          <w:p w14:paraId="23F09597" w14:textId="1DFD3C5C" w:rsidR="00D948AB" w:rsidRDefault="00D948AB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A78058" w14:textId="62145E2C" w:rsidR="005311F6" w:rsidRPr="005577A3" w:rsidRDefault="005311F6" w:rsidP="00D948A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118" w:type="dxa"/>
            <w:tcBorders>
              <w:bottom w:val="nil"/>
            </w:tcBorders>
            <w:shd w:val="clear" w:color="auto" w:fill="auto"/>
            <w:vAlign w:val="bottom"/>
          </w:tcPr>
          <w:sdt>
            <w:sdtPr>
              <w:rPr>
                <w:rStyle w:val="Style1"/>
              </w:rPr>
              <w:id w:val="1051037771"/>
              <w:showingPlcHdr/>
              <w:date w:fullDate="2022-02-01T00:00:00Z">
                <w:dateFormat w:val="yyyy-MM-dd"/>
                <w:lid w:val="fr-CA"/>
                <w:storeMappedDataAs w:val="dateTime"/>
                <w:calendar w:val="gregorian"/>
              </w:date>
            </w:sdtPr>
            <w:sdtEndPr>
              <w:rPr>
                <w:rStyle w:val="Policepardfaut"/>
                <w:rFonts w:ascii="Calibri" w:hAnsi="Calibri"/>
                <w:b/>
              </w:rPr>
            </w:sdtEndPr>
            <w:sdtContent>
              <w:p w14:paraId="37F39C8A" w14:textId="14639077" w:rsidR="00D948AB" w:rsidRPr="00D948AB" w:rsidRDefault="00011CE8" w:rsidP="00D948AB">
                <w:pPr>
                  <w:spacing w:before="60" w:after="0"/>
                  <w:jc w:val="center"/>
                  <w:rPr>
                    <w:rFonts w:ascii="Times New Roman" w:hAnsi="Times New Roman"/>
                    <w:b/>
                  </w:rPr>
                </w:pPr>
                <w:r>
                  <w:rPr>
                    <w:rStyle w:val="Style1"/>
                  </w:rPr>
                  <w:t xml:space="preserve">     </w:t>
                </w:r>
              </w:p>
            </w:sdtContent>
          </w:sdt>
        </w:tc>
      </w:tr>
      <w:tr w:rsidR="00B56D22" w:rsidRPr="00DB41F6" w14:paraId="4D0C6BF1" w14:textId="77777777" w:rsidTr="007C27E4">
        <w:trPr>
          <w:trHeight w:val="455"/>
        </w:trPr>
        <w:tc>
          <w:tcPr>
            <w:tcW w:w="6522" w:type="dxa"/>
            <w:tcBorders>
              <w:top w:val="nil"/>
            </w:tcBorders>
            <w:shd w:val="clear" w:color="auto" w:fill="auto"/>
            <w:vAlign w:val="center"/>
          </w:tcPr>
          <w:p w14:paraId="2214BA43" w14:textId="77777777" w:rsidR="00D948AB" w:rsidRDefault="00D948AB" w:rsidP="00435F1A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FC6BFE3" wp14:editId="16BC3970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18415</wp:posOffset>
                      </wp:positionV>
                      <wp:extent cx="3745230" cy="0"/>
                      <wp:effectExtent l="0" t="0" r="26670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52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C1198" id="Connecteur droit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1.45pt" to="308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Hd1AEAAAoEAAAOAAAAZHJzL2Uyb0RvYy54bWysU9uO0zAQfUfiHyy/06RdCmzUdB+6Wl4Q&#10;VFw+wOuMG0u+aext0r9n7LTpCpAQK16c2J5zZs6Z8eZutIYdAaP2ruXLRc0ZOOk77Q4t//H94c0H&#10;zmISrhPGO2j5CSK/275+tRlCAyvfe9MBMiJxsRlCy/uUQlNVUfZgRVz4AI4ulUcrEm3xUHUoBmK3&#10;plrV9btq8NgF9BJipNP76ZJvC79SINMXpSIkZlpOtaWyYlkf81ptN6I5oAi9lucyxAuqsEI7SjpT&#10;3Ysk2BPq36isluijV2khva28UlpC0UBqlvUvar71IkDRQubEMNsU/x+t/HzcI9Md9Y4zJyy1aOed&#10;I9/gCVmHXie2zC4NITYUvHN7PO9i2GOWPCq0+Uti2FicPc3OwpiYpMOb92/XqxtqgLzcVVdgwJg+&#10;grcs/7TcaJdFi0YcP8VEySj0EpKPjWNDy2/Xq3WJit7o7kEbk+/K3MDOIDsK6ngaS+1E8CyKdsYR&#10;a1Y0aSh/6WRgov8KihyhqpdTgjyLV04hJbh04TWOojNMUQUzsP478ByfoVDm9F/AM6Jk9i7NYKud&#10;xz9lv1qhpviLA5PubMGj706lu8UaGrhi/flx5Il+vi/w6xPe/gQAAP//AwBQSwMEFAAGAAgAAAAh&#10;AIKLUmjaAAAABgEAAA8AAABkcnMvZG93bnJldi54bWxMjjFPwzAUhHck/oP1kNiok4KsEuJUCMGC&#10;WBI6wObGr0lE/JzGThP+PQ8WOp1Od7r78u3ienHCMXSeNKSrBARS7W1HjYbd+8vNBkSIhqzpPaGG&#10;bwywLS4vcpNZP1OJpyo2gkcoZEZDG+OQSRnqFp0JKz8gcXbwozOR7dhIO5qZx10v10mipDMd8UNr&#10;Bnxqsf6qJqfh9fgWdneqfC4/jptq/jxMbeNR6+ur5fEBRMQl/pfhF5/RoWCmvZ/IBtFrWKtbbrLe&#10;g+BYpSoFsf/zssjlOX7xAwAA//8DAFBLAQItABQABgAIAAAAIQC2gziS/gAAAOEBAAATAAAAAAAA&#10;AAAAAAAAAAAAAABbQ29udGVudF9UeXBlc10ueG1sUEsBAi0AFAAGAAgAAAAhADj9If/WAAAAlAEA&#10;AAsAAAAAAAAAAAAAAAAALwEAAF9yZWxzLy5yZWxzUEsBAi0AFAAGAAgAAAAhAKsrMd3UAQAACgQA&#10;AA4AAAAAAAAAAAAAAAAALgIAAGRycy9lMm9Eb2MueG1sUEsBAi0AFAAGAAgAAAAhAIKLUmjaAAAA&#10;BgEAAA8AAAAAAAAAAAAAAAAALgQAAGRycy9kb3ducmV2LnhtbFBLBQYAAAAABAAEAPMAAAA1BQAA&#10;AAA=&#10;" strokecolor="black [3213]"/>
                  </w:pict>
                </mc:Fallback>
              </mc:AlternateContent>
            </w:r>
            <w:r w:rsidR="00761AF3">
              <w:rPr>
                <w:rFonts w:ascii="Times New Roman" w:hAnsi="Times New Roman"/>
              </w:rPr>
              <w:t>Pierre-Albert Coubat, sous-ministre adjoint</w:t>
            </w:r>
          </w:p>
          <w:p w14:paraId="1DFDFC12" w14:textId="6A032923" w:rsidR="00761AF3" w:rsidRDefault="00F6290E" w:rsidP="00761AF3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C27E4">
              <w:rPr>
                <w:rFonts w:ascii="Times New Roman" w:hAnsi="Times New Roman"/>
                <w:smallCaps/>
              </w:rPr>
              <w:t>Direction générale du financement, de l’allocation des ressources</w:t>
            </w:r>
            <w:r>
              <w:rPr>
                <w:rFonts w:ascii="Times New Roman" w:hAnsi="Times New Roman"/>
                <w:smallCaps/>
              </w:rPr>
              <w:t xml:space="preserve"> </w:t>
            </w:r>
            <w:r w:rsidRPr="007C27E4">
              <w:rPr>
                <w:rFonts w:ascii="Times New Roman" w:hAnsi="Times New Roman"/>
                <w:smallCaps/>
              </w:rPr>
              <w:t>et du budget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3BBF756" w14:textId="7DC7CDF3" w:rsidR="00D948AB" w:rsidRDefault="00761AF3" w:rsidP="00A86BF6">
            <w:pPr>
              <w:spacing w:before="60" w:after="0"/>
              <w:jc w:val="center"/>
              <w:rPr>
                <w:rFonts w:ascii="Times New Roman" w:hAnsi="Times New Roman"/>
                <w:noProof/>
                <w:lang w:eastAsia="fr-CA"/>
              </w:rPr>
            </w:pPr>
            <w:r>
              <w:rPr>
                <w:rFonts w:ascii="Times New Roman" w:hAnsi="Times New Roman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F44C96" wp14:editId="415A60A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40005</wp:posOffset>
                      </wp:positionV>
                      <wp:extent cx="1616075" cy="0"/>
                      <wp:effectExtent l="0" t="0" r="22225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607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C18C4" id="Connecteur droit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pt,3.15pt" to="131.6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HAO1AEAAAoEAAAOAAAAZHJzL2Uyb0RvYy54bWysU02P2yAQvVfqf0DcN3YsJW2tOHvIanup&#10;2qgfP4DFQ4IEDAI2dv59B5w4q7ZS1Wov2APz3sx7DJv70Rp2ghA1uo4vFzVn4CT22h06/uP74917&#10;zmISrhcGHXT8DJHfb9++2Qy+hQaPaHoIjEhcbAff8WNKvq2qKI9gRVygB0eHCoMVicJwqPogBmK3&#10;pmrqel0NGHofUEKMtPswHfJt4VcKZPqiVITETMept1TWUNanvFbbjWgPQfijlpc2xH90YYV2VHSm&#10;ehBJsOegf6OyWgaMqNJCoq1QKS2haCA1y/oXNd+OwkPRQuZEP9sUX49Wfj7tA9N9xxvOnLB0RTt0&#10;jnyD58D6gDqxJrs0+NhS8s7twyWKfh+y5FEFm78kho3F2fPsLIyJSdpcrpfr+t2KM3k9q25AH2L6&#10;CGhZ/um40S6LFq04fYqJilHqNSVvG8eGjn9YNauSFdHo/lEbk8/K3MDOBHYSdONpXObeieBFFkXG&#10;0WZWNGkof+lsYKL/CoocyV1PBfIs3jiFlODSldc4ys4wRR3MwPrvwEt+hkKZ038Bz4hSGV2awVY7&#10;DH+qfrNCTflXBybd2YIn7M/ldos1NHDFucvjyBP9Mi7w2xPe/gQAAP//AwBQSwMEFAAGAAgAAAAh&#10;AGDiQCfZAAAABQEAAA8AAABkcnMvZG93bnJldi54bWxMjjFPwzAUhHck/oP1kNioQ4uiKMSpKgQL&#10;YknoAJsbv8ZR4+c0dprw73mwwHanO919xXZxvbjgGDpPCu5XCQikxpuOWgX795e7DESImozuPaGC&#10;LwywLa+vCp0bP1OFlzq2gkco5FqBjXHIpQyNRafDyg9InB396HRkO7bSjHrmcdfLdZKk0umO+MHq&#10;AZ8sNqd6cgpez29h/5BWz9XHOavnz+NkW49K3d4su0cQEZf4V4YffEaHkpkOfiITRK8gY/CoIN2A&#10;4HSdblgcfr0sC/mfvvwGAAD//wMAUEsBAi0AFAAGAAgAAAAhALaDOJL+AAAA4QEAABMAAAAAAAAA&#10;AAAAAAAAAAAAAFtDb250ZW50X1R5cGVzXS54bWxQSwECLQAUAAYACAAAACEAOP0h/9YAAACUAQAA&#10;CwAAAAAAAAAAAAAAAAAvAQAAX3JlbHMvLnJlbHNQSwECLQAUAAYACAAAACEAJaRwDtQBAAAKBAAA&#10;DgAAAAAAAAAAAAAAAAAuAgAAZHJzL2Uyb0RvYy54bWxQSwECLQAUAAYACAAAACEAYOJAJ9kAAAAF&#10;AQAADwAAAAAAAAAAAAAAAAAuBAAAZHJzL2Rvd25yZXYueG1sUEsFBgAAAAAEAAQA8wAAADQFAAAA&#10;AA==&#10;" strokecolor="black [3213]"/>
                  </w:pict>
                </mc:Fallback>
              </mc:AlternateContent>
            </w:r>
            <w:r w:rsidR="00D948AB" w:rsidRPr="00A86BF6">
              <w:rPr>
                <w:rFonts w:ascii="Times New Roman" w:hAnsi="Times New Roman"/>
                <w:b/>
              </w:rPr>
              <w:t>Date</w:t>
            </w:r>
          </w:p>
        </w:tc>
      </w:tr>
    </w:tbl>
    <w:p w14:paraId="12B54939" w14:textId="37441B2E" w:rsidR="006527EB" w:rsidRPr="006527EB" w:rsidRDefault="006527EB" w:rsidP="006527EB">
      <w:pPr>
        <w:tabs>
          <w:tab w:val="left" w:pos="7695"/>
        </w:tabs>
        <w:rPr>
          <w:sz w:val="20"/>
        </w:rPr>
      </w:pPr>
    </w:p>
    <w:sectPr w:rsidR="006527EB" w:rsidRPr="006527EB" w:rsidSect="00A4054F">
      <w:headerReference w:type="default" r:id="rId8"/>
      <w:footerReference w:type="default" r:id="rId9"/>
      <w:pgSz w:w="12240" w:h="20160" w:code="5"/>
      <w:pgMar w:top="1440" w:right="1797" w:bottom="737" w:left="1797" w:header="51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67E71" w14:textId="77777777" w:rsidR="00BC6EB0" w:rsidRDefault="00BC6EB0" w:rsidP="00527FB0">
      <w:pPr>
        <w:spacing w:after="0" w:line="240" w:lineRule="auto"/>
      </w:pPr>
      <w:r>
        <w:separator/>
      </w:r>
    </w:p>
  </w:endnote>
  <w:endnote w:type="continuationSeparator" w:id="0">
    <w:p w14:paraId="4E2F7DB2" w14:textId="77777777" w:rsidR="00BC6EB0" w:rsidRDefault="00BC6EB0" w:rsidP="00527FB0">
      <w:pPr>
        <w:spacing w:after="0" w:line="240" w:lineRule="auto"/>
      </w:pPr>
      <w:r>
        <w:continuationSeparator/>
      </w:r>
    </w:p>
  </w:endnote>
  <w:endnote w:type="continuationNotice" w:id="1">
    <w:p w14:paraId="0B2E8255" w14:textId="77777777" w:rsidR="00BC6EB0" w:rsidRDefault="00BC6E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3FC5" w14:textId="77777777" w:rsidR="00A4054F" w:rsidRPr="00367349" w:rsidRDefault="00A4054F" w:rsidP="00367349">
    <w:pPr>
      <w:pStyle w:val="Pieddepage"/>
      <w:pBdr>
        <w:top w:val="single" w:sz="4" w:space="0" w:color="A6A6A6"/>
      </w:pBdr>
      <w:spacing w:before="120"/>
      <w:ind w:left="-450" w:right="-534"/>
      <w:jc w:val="center"/>
      <w:rPr>
        <w:rFonts w:ascii="Times New Roman" w:hAnsi="Times New Roman"/>
        <w:color w:val="808080"/>
        <w:sz w:val="16"/>
        <w:szCs w:val="16"/>
      </w:rPr>
    </w:pPr>
    <w:r w:rsidRPr="00367349">
      <w:rPr>
        <w:rFonts w:ascii="Times New Roman" w:hAnsi="Times New Roman"/>
        <w:color w:val="808080"/>
        <w:sz w:val="16"/>
        <w:szCs w:val="16"/>
      </w:rPr>
      <w:t>Bureau d</w:t>
    </w:r>
    <w:r w:rsidR="006A6C95">
      <w:rPr>
        <w:rFonts w:ascii="Times New Roman" w:hAnsi="Times New Roman"/>
        <w:color w:val="808080"/>
        <w:sz w:val="16"/>
        <w:szCs w:val="16"/>
      </w:rPr>
      <w:t>e la</w:t>
    </w:r>
    <w:r w:rsidRPr="00367349">
      <w:rPr>
        <w:rFonts w:ascii="Times New Roman" w:hAnsi="Times New Roman"/>
        <w:color w:val="808080"/>
        <w:sz w:val="16"/>
        <w:szCs w:val="16"/>
      </w:rPr>
      <w:t xml:space="preserve"> sous-ministre</w:t>
    </w:r>
    <w:r w:rsidR="004F2DCD" w:rsidRPr="00367349">
      <w:rPr>
        <w:rFonts w:ascii="Times New Roman" w:hAnsi="Times New Roman"/>
        <w:color w:val="808080"/>
        <w:sz w:val="16"/>
        <w:szCs w:val="16"/>
      </w:rPr>
      <w:t xml:space="preserve"> </w:t>
    </w:r>
    <w:r w:rsidRPr="00367349">
      <w:rPr>
        <w:rFonts w:ascii="Times New Roman" w:hAnsi="Times New Roman"/>
        <w:color w:val="808080"/>
        <w:sz w:val="16"/>
        <w:szCs w:val="16"/>
      </w:rPr>
      <w:t>/</w:t>
    </w:r>
    <w:r w:rsidR="004F2DCD" w:rsidRPr="00367349">
      <w:rPr>
        <w:rFonts w:ascii="Times New Roman" w:hAnsi="Times New Roman"/>
        <w:color w:val="808080"/>
        <w:sz w:val="16"/>
        <w:szCs w:val="16"/>
      </w:rPr>
      <w:t xml:space="preserve"> </w:t>
    </w:r>
    <w:r w:rsidRPr="00367349">
      <w:rPr>
        <w:rFonts w:ascii="Times New Roman" w:hAnsi="Times New Roman"/>
        <w:color w:val="808080"/>
        <w:sz w:val="16"/>
        <w:szCs w:val="16"/>
      </w:rPr>
      <w:t>Direction générale de la coordination</w:t>
    </w:r>
    <w:r w:rsidR="00CF5341">
      <w:rPr>
        <w:rFonts w:ascii="Times New Roman" w:hAnsi="Times New Roman"/>
        <w:color w:val="808080"/>
        <w:sz w:val="16"/>
        <w:szCs w:val="16"/>
      </w:rPr>
      <w:t xml:space="preserve"> réseau et ministérielle et des affaires institutionnelles</w:t>
    </w:r>
    <w:r w:rsidR="00367349" w:rsidRPr="00367349">
      <w:rPr>
        <w:rFonts w:ascii="Times New Roman" w:hAnsi="Times New Roman"/>
        <w:color w:val="808080"/>
        <w:sz w:val="16"/>
        <w:szCs w:val="16"/>
      </w:rPr>
      <w:t xml:space="preserve"> – mise à jour 20</w:t>
    </w:r>
    <w:r w:rsidR="006527EB">
      <w:rPr>
        <w:rFonts w:ascii="Times New Roman" w:hAnsi="Times New Roman"/>
        <w:color w:val="808080"/>
        <w:sz w:val="16"/>
        <w:szCs w:val="16"/>
      </w:rPr>
      <w:t>20</w:t>
    </w:r>
    <w:r w:rsidR="00367349" w:rsidRPr="00367349">
      <w:rPr>
        <w:rFonts w:ascii="Times New Roman" w:hAnsi="Times New Roman"/>
        <w:color w:val="808080"/>
        <w:sz w:val="16"/>
        <w:szCs w:val="16"/>
      </w:rPr>
      <w:t>-</w:t>
    </w:r>
    <w:r w:rsidR="006A6C95">
      <w:rPr>
        <w:rFonts w:ascii="Times New Roman" w:hAnsi="Times New Roman"/>
        <w:color w:val="808080"/>
        <w:sz w:val="16"/>
        <w:szCs w:val="16"/>
      </w:rPr>
      <w:t>0</w:t>
    </w:r>
    <w:r w:rsidR="00CF5341">
      <w:rPr>
        <w:rFonts w:ascii="Times New Roman" w:hAnsi="Times New Roman"/>
        <w:color w:val="808080"/>
        <w:sz w:val="16"/>
        <w:szCs w:val="16"/>
      </w:rPr>
      <w:t>9</w:t>
    </w:r>
    <w:r w:rsidR="006A6C95">
      <w:rPr>
        <w:rFonts w:ascii="Times New Roman" w:hAnsi="Times New Roman"/>
        <w:color w:val="808080"/>
        <w:sz w:val="16"/>
        <w:szCs w:val="16"/>
      </w:rPr>
      <w:t>-</w:t>
    </w:r>
    <w:r w:rsidR="00CF5341">
      <w:rPr>
        <w:rFonts w:ascii="Times New Roman" w:hAnsi="Times New Roman"/>
        <w:color w:val="808080"/>
        <w:sz w:val="16"/>
        <w:szCs w:val="16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2003" w14:textId="77777777" w:rsidR="00BC6EB0" w:rsidRDefault="00BC6EB0" w:rsidP="00527FB0">
      <w:pPr>
        <w:spacing w:after="0" w:line="240" w:lineRule="auto"/>
      </w:pPr>
      <w:r>
        <w:separator/>
      </w:r>
    </w:p>
  </w:footnote>
  <w:footnote w:type="continuationSeparator" w:id="0">
    <w:p w14:paraId="54C4CA3D" w14:textId="77777777" w:rsidR="00BC6EB0" w:rsidRDefault="00BC6EB0" w:rsidP="00527FB0">
      <w:pPr>
        <w:spacing w:after="0" w:line="240" w:lineRule="auto"/>
      </w:pPr>
      <w:r>
        <w:continuationSeparator/>
      </w:r>
    </w:p>
  </w:footnote>
  <w:footnote w:type="continuationNotice" w:id="1">
    <w:p w14:paraId="438AEFDD" w14:textId="77777777" w:rsidR="00BC6EB0" w:rsidRDefault="00BC6E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63D2" w14:textId="77777777" w:rsidR="00A4054F" w:rsidRPr="008C2583" w:rsidRDefault="00A4054F" w:rsidP="004F2DCD">
    <w:pPr>
      <w:pStyle w:val="En-tte"/>
      <w:tabs>
        <w:tab w:val="clear" w:pos="4320"/>
        <w:tab w:val="center" w:pos="4962"/>
      </w:tabs>
      <w:ind w:right="-568"/>
      <w:jc w:val="right"/>
      <w:rPr>
        <w:rFonts w:ascii="Times New Roman" w:hAnsi="Times New Roman"/>
        <w:sz w:val="36"/>
        <w:szCs w:val="36"/>
      </w:rPr>
    </w:pPr>
    <w:r>
      <w:rPr>
        <w:noProof/>
        <w:lang w:eastAsia="fr-CA"/>
      </w:rPr>
      <w:drawing>
        <wp:anchor distT="0" distB="0" distL="114300" distR="114300" simplePos="0" relativeHeight="251658240" behindDoc="0" locked="0" layoutInCell="1" allowOverlap="1" wp14:anchorId="7FFBE94D" wp14:editId="7E322368">
          <wp:simplePos x="0" y="0"/>
          <wp:positionH relativeFrom="column">
            <wp:posOffset>-377825</wp:posOffset>
          </wp:positionH>
          <wp:positionV relativeFrom="paragraph">
            <wp:posOffset>-29210</wp:posOffset>
          </wp:positionV>
          <wp:extent cx="1442085" cy="612140"/>
          <wp:effectExtent l="0" t="0" r="0" b="0"/>
          <wp:wrapSquare wrapText="right"/>
          <wp:docPr id="5" name="Image 5" descr="MSSS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SSSpr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0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2E78DD2">
      <w:rPr>
        <w:rFonts w:ascii="Times New Roman" w:hAnsi="Times New Roman"/>
        <w:sz w:val="36"/>
        <w:szCs w:val="36"/>
      </w:rPr>
      <w:t xml:space="preserve">    </w:t>
    </w:r>
    <w:r w:rsidR="72E78DD2" w:rsidRPr="008C2583">
      <w:rPr>
        <w:rFonts w:ascii="Times New Roman" w:hAnsi="Times New Roman"/>
        <w:sz w:val="36"/>
        <w:szCs w:val="36"/>
      </w:rPr>
      <w:t xml:space="preserve">Fiche de présentation d’un </w:t>
    </w:r>
    <w:r w:rsidR="72E78DD2">
      <w:rPr>
        <w:rFonts w:ascii="Times New Roman" w:hAnsi="Times New Roman"/>
        <w:sz w:val="36"/>
        <w:szCs w:val="36"/>
      </w:rPr>
      <w:t>sujet</w:t>
    </w:r>
  </w:p>
  <w:p w14:paraId="6D135FC1" w14:textId="77777777" w:rsidR="00A4054F" w:rsidRDefault="00A4054F" w:rsidP="00A4054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F6E"/>
    <w:multiLevelType w:val="hybridMultilevel"/>
    <w:tmpl w:val="EBDE5EBE"/>
    <w:lvl w:ilvl="0" w:tplc="0C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73913"/>
    <w:multiLevelType w:val="hybridMultilevel"/>
    <w:tmpl w:val="FB2EA2A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563C8"/>
    <w:multiLevelType w:val="hybridMultilevel"/>
    <w:tmpl w:val="5F189B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D5855"/>
    <w:multiLevelType w:val="hybridMultilevel"/>
    <w:tmpl w:val="196457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B0748"/>
    <w:multiLevelType w:val="hybridMultilevel"/>
    <w:tmpl w:val="2488CB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41"/>
    <w:rsid w:val="0000190D"/>
    <w:rsid w:val="00003EB8"/>
    <w:rsid w:val="000056E5"/>
    <w:rsid w:val="00011CE8"/>
    <w:rsid w:val="00014299"/>
    <w:rsid w:val="00017B95"/>
    <w:rsid w:val="00020E01"/>
    <w:rsid w:val="00026033"/>
    <w:rsid w:val="0003365C"/>
    <w:rsid w:val="00034E8D"/>
    <w:rsid w:val="00036D89"/>
    <w:rsid w:val="00042447"/>
    <w:rsid w:val="00043C20"/>
    <w:rsid w:val="00043EFB"/>
    <w:rsid w:val="000455A9"/>
    <w:rsid w:val="00051A35"/>
    <w:rsid w:val="0005721E"/>
    <w:rsid w:val="00075C9D"/>
    <w:rsid w:val="00081A46"/>
    <w:rsid w:val="00082A4C"/>
    <w:rsid w:val="00087E85"/>
    <w:rsid w:val="000957AB"/>
    <w:rsid w:val="000A66B6"/>
    <w:rsid w:val="000B11E2"/>
    <w:rsid w:val="000C2641"/>
    <w:rsid w:val="000C34E0"/>
    <w:rsid w:val="000D1D80"/>
    <w:rsid w:val="000E01B1"/>
    <w:rsid w:val="000E384C"/>
    <w:rsid w:val="000E7F65"/>
    <w:rsid w:val="000F07E6"/>
    <w:rsid w:val="000F0AC1"/>
    <w:rsid w:val="000F1AB7"/>
    <w:rsid w:val="00102709"/>
    <w:rsid w:val="00106D54"/>
    <w:rsid w:val="001122DC"/>
    <w:rsid w:val="00122C47"/>
    <w:rsid w:val="00123FBD"/>
    <w:rsid w:val="00124992"/>
    <w:rsid w:val="001330A5"/>
    <w:rsid w:val="00143B66"/>
    <w:rsid w:val="00154585"/>
    <w:rsid w:val="00155C50"/>
    <w:rsid w:val="001603F9"/>
    <w:rsid w:val="0016635A"/>
    <w:rsid w:val="0016707E"/>
    <w:rsid w:val="00172EBB"/>
    <w:rsid w:val="00180184"/>
    <w:rsid w:val="00181489"/>
    <w:rsid w:val="001829C0"/>
    <w:rsid w:val="001838C0"/>
    <w:rsid w:val="00185A30"/>
    <w:rsid w:val="00187B3D"/>
    <w:rsid w:val="001929D7"/>
    <w:rsid w:val="001971FF"/>
    <w:rsid w:val="00197ACE"/>
    <w:rsid w:val="001A1562"/>
    <w:rsid w:val="001A2932"/>
    <w:rsid w:val="001A3BF1"/>
    <w:rsid w:val="001A3C71"/>
    <w:rsid w:val="001A6D54"/>
    <w:rsid w:val="001B0346"/>
    <w:rsid w:val="001B3938"/>
    <w:rsid w:val="001C09DB"/>
    <w:rsid w:val="001C1A22"/>
    <w:rsid w:val="001D2E03"/>
    <w:rsid w:val="001D3F9D"/>
    <w:rsid w:val="001D6FFC"/>
    <w:rsid w:val="001E2D9C"/>
    <w:rsid w:val="001F62FC"/>
    <w:rsid w:val="0020436D"/>
    <w:rsid w:val="00210FD7"/>
    <w:rsid w:val="002131C0"/>
    <w:rsid w:val="0022109A"/>
    <w:rsid w:val="0022166A"/>
    <w:rsid w:val="00222351"/>
    <w:rsid w:val="00223FA3"/>
    <w:rsid w:val="0023128E"/>
    <w:rsid w:val="00232EB3"/>
    <w:rsid w:val="0024583E"/>
    <w:rsid w:val="0024785E"/>
    <w:rsid w:val="00252A50"/>
    <w:rsid w:val="002630CD"/>
    <w:rsid w:val="00286C4A"/>
    <w:rsid w:val="002871E3"/>
    <w:rsid w:val="00295919"/>
    <w:rsid w:val="002959D4"/>
    <w:rsid w:val="00297B1C"/>
    <w:rsid w:val="002A3DC9"/>
    <w:rsid w:val="002A67B4"/>
    <w:rsid w:val="002C1A76"/>
    <w:rsid w:val="002E04DF"/>
    <w:rsid w:val="002E13C6"/>
    <w:rsid w:val="002E6029"/>
    <w:rsid w:val="002F02A2"/>
    <w:rsid w:val="002F6F95"/>
    <w:rsid w:val="003020BE"/>
    <w:rsid w:val="003104F3"/>
    <w:rsid w:val="00314DD8"/>
    <w:rsid w:val="003164D5"/>
    <w:rsid w:val="003210BF"/>
    <w:rsid w:val="003321E3"/>
    <w:rsid w:val="00332AEB"/>
    <w:rsid w:val="0033703E"/>
    <w:rsid w:val="0034291F"/>
    <w:rsid w:val="003536B0"/>
    <w:rsid w:val="00357C2C"/>
    <w:rsid w:val="0036013A"/>
    <w:rsid w:val="003605B4"/>
    <w:rsid w:val="00364AC2"/>
    <w:rsid w:val="00367349"/>
    <w:rsid w:val="003876AC"/>
    <w:rsid w:val="00394BE3"/>
    <w:rsid w:val="003970B9"/>
    <w:rsid w:val="003A2B19"/>
    <w:rsid w:val="003A5C6C"/>
    <w:rsid w:val="003A5D1C"/>
    <w:rsid w:val="003B1C7F"/>
    <w:rsid w:val="003B370B"/>
    <w:rsid w:val="003B640F"/>
    <w:rsid w:val="003B7C02"/>
    <w:rsid w:val="003C2CCF"/>
    <w:rsid w:val="003D0221"/>
    <w:rsid w:val="003D1EA0"/>
    <w:rsid w:val="003D2CF2"/>
    <w:rsid w:val="003D5C7E"/>
    <w:rsid w:val="003D626C"/>
    <w:rsid w:val="003E000F"/>
    <w:rsid w:val="003E3E2D"/>
    <w:rsid w:val="003E543D"/>
    <w:rsid w:val="003E7195"/>
    <w:rsid w:val="004041E7"/>
    <w:rsid w:val="004043D7"/>
    <w:rsid w:val="00416E96"/>
    <w:rsid w:val="0042204B"/>
    <w:rsid w:val="00424537"/>
    <w:rsid w:val="004246F4"/>
    <w:rsid w:val="00427E2C"/>
    <w:rsid w:val="00432348"/>
    <w:rsid w:val="00435F1A"/>
    <w:rsid w:val="0044186F"/>
    <w:rsid w:val="004445D5"/>
    <w:rsid w:val="004535CF"/>
    <w:rsid w:val="00461B76"/>
    <w:rsid w:val="004627B2"/>
    <w:rsid w:val="0047078B"/>
    <w:rsid w:val="004735D9"/>
    <w:rsid w:val="00480739"/>
    <w:rsid w:val="00481804"/>
    <w:rsid w:val="00481DD9"/>
    <w:rsid w:val="0048570A"/>
    <w:rsid w:val="004984C1"/>
    <w:rsid w:val="004A2F5E"/>
    <w:rsid w:val="004A6433"/>
    <w:rsid w:val="004B1473"/>
    <w:rsid w:val="004B42DF"/>
    <w:rsid w:val="004B4CF8"/>
    <w:rsid w:val="004D4F3D"/>
    <w:rsid w:val="004E1452"/>
    <w:rsid w:val="004E2844"/>
    <w:rsid w:val="004E65A8"/>
    <w:rsid w:val="004F14BB"/>
    <w:rsid w:val="004F14F7"/>
    <w:rsid w:val="004F2DCD"/>
    <w:rsid w:val="005040A5"/>
    <w:rsid w:val="00505AF3"/>
    <w:rsid w:val="005118CF"/>
    <w:rsid w:val="0051620D"/>
    <w:rsid w:val="005204BD"/>
    <w:rsid w:val="00527FB0"/>
    <w:rsid w:val="005311F6"/>
    <w:rsid w:val="00532964"/>
    <w:rsid w:val="00534F57"/>
    <w:rsid w:val="00537741"/>
    <w:rsid w:val="005410E9"/>
    <w:rsid w:val="00544B10"/>
    <w:rsid w:val="005504BD"/>
    <w:rsid w:val="00551B98"/>
    <w:rsid w:val="005575AA"/>
    <w:rsid w:val="005577A3"/>
    <w:rsid w:val="00565B02"/>
    <w:rsid w:val="00567E26"/>
    <w:rsid w:val="005708A1"/>
    <w:rsid w:val="005736A1"/>
    <w:rsid w:val="00574261"/>
    <w:rsid w:val="00575924"/>
    <w:rsid w:val="00577295"/>
    <w:rsid w:val="00577353"/>
    <w:rsid w:val="00585CB5"/>
    <w:rsid w:val="00587E09"/>
    <w:rsid w:val="005937A3"/>
    <w:rsid w:val="00593B73"/>
    <w:rsid w:val="00595781"/>
    <w:rsid w:val="00597154"/>
    <w:rsid w:val="005A1EA8"/>
    <w:rsid w:val="005A28BD"/>
    <w:rsid w:val="005A44CD"/>
    <w:rsid w:val="005A45DD"/>
    <w:rsid w:val="005B2F45"/>
    <w:rsid w:val="005B3844"/>
    <w:rsid w:val="005B3C0F"/>
    <w:rsid w:val="005B501B"/>
    <w:rsid w:val="005D0928"/>
    <w:rsid w:val="005D3051"/>
    <w:rsid w:val="005D43CB"/>
    <w:rsid w:val="005E1F48"/>
    <w:rsid w:val="005E7463"/>
    <w:rsid w:val="005F1F02"/>
    <w:rsid w:val="005F74A5"/>
    <w:rsid w:val="00601570"/>
    <w:rsid w:val="006131C0"/>
    <w:rsid w:val="00615326"/>
    <w:rsid w:val="00617171"/>
    <w:rsid w:val="0061724F"/>
    <w:rsid w:val="00617309"/>
    <w:rsid w:val="0062377F"/>
    <w:rsid w:val="00626593"/>
    <w:rsid w:val="0063135F"/>
    <w:rsid w:val="00640813"/>
    <w:rsid w:val="00645C9A"/>
    <w:rsid w:val="006460A1"/>
    <w:rsid w:val="006527EB"/>
    <w:rsid w:val="006557EE"/>
    <w:rsid w:val="006625F7"/>
    <w:rsid w:val="0066339D"/>
    <w:rsid w:val="00665778"/>
    <w:rsid w:val="006848C0"/>
    <w:rsid w:val="006874A2"/>
    <w:rsid w:val="0068767C"/>
    <w:rsid w:val="00697662"/>
    <w:rsid w:val="006A3FFD"/>
    <w:rsid w:val="006A41E6"/>
    <w:rsid w:val="006A6C95"/>
    <w:rsid w:val="006B27B2"/>
    <w:rsid w:val="006B28B7"/>
    <w:rsid w:val="006B744C"/>
    <w:rsid w:val="006B74D1"/>
    <w:rsid w:val="006C59D0"/>
    <w:rsid w:val="006E5621"/>
    <w:rsid w:val="006E60E2"/>
    <w:rsid w:val="006E641E"/>
    <w:rsid w:val="006F6F8B"/>
    <w:rsid w:val="0070231C"/>
    <w:rsid w:val="007111D7"/>
    <w:rsid w:val="007138A8"/>
    <w:rsid w:val="00715F2F"/>
    <w:rsid w:val="007165E3"/>
    <w:rsid w:val="00717430"/>
    <w:rsid w:val="00725463"/>
    <w:rsid w:val="00730281"/>
    <w:rsid w:val="00730E0E"/>
    <w:rsid w:val="007378B6"/>
    <w:rsid w:val="00740B25"/>
    <w:rsid w:val="007502FD"/>
    <w:rsid w:val="00761AF3"/>
    <w:rsid w:val="0076678B"/>
    <w:rsid w:val="007672E8"/>
    <w:rsid w:val="00776645"/>
    <w:rsid w:val="00782F15"/>
    <w:rsid w:val="0078309F"/>
    <w:rsid w:val="00783534"/>
    <w:rsid w:val="00790889"/>
    <w:rsid w:val="00792380"/>
    <w:rsid w:val="007A67FC"/>
    <w:rsid w:val="007B3642"/>
    <w:rsid w:val="007C2059"/>
    <w:rsid w:val="007C27E4"/>
    <w:rsid w:val="007C42A9"/>
    <w:rsid w:val="007D20F1"/>
    <w:rsid w:val="007D5950"/>
    <w:rsid w:val="007E4A73"/>
    <w:rsid w:val="007E7BC5"/>
    <w:rsid w:val="007F2412"/>
    <w:rsid w:val="0080583B"/>
    <w:rsid w:val="008114A4"/>
    <w:rsid w:val="008123E1"/>
    <w:rsid w:val="0082650B"/>
    <w:rsid w:val="00827089"/>
    <w:rsid w:val="00834839"/>
    <w:rsid w:val="008406A7"/>
    <w:rsid w:val="0084728F"/>
    <w:rsid w:val="008511FD"/>
    <w:rsid w:val="00851A2C"/>
    <w:rsid w:val="00860385"/>
    <w:rsid w:val="00866146"/>
    <w:rsid w:val="00874685"/>
    <w:rsid w:val="00875090"/>
    <w:rsid w:val="00892860"/>
    <w:rsid w:val="008933CD"/>
    <w:rsid w:val="00893BBF"/>
    <w:rsid w:val="008A0949"/>
    <w:rsid w:val="008A5021"/>
    <w:rsid w:val="008B29F7"/>
    <w:rsid w:val="008B7AF1"/>
    <w:rsid w:val="008D218E"/>
    <w:rsid w:val="008E2828"/>
    <w:rsid w:val="008E3541"/>
    <w:rsid w:val="008F58E3"/>
    <w:rsid w:val="008F6F6F"/>
    <w:rsid w:val="008F78E2"/>
    <w:rsid w:val="0090160D"/>
    <w:rsid w:val="009055AC"/>
    <w:rsid w:val="00910229"/>
    <w:rsid w:val="00913772"/>
    <w:rsid w:val="009201E6"/>
    <w:rsid w:val="009206A5"/>
    <w:rsid w:val="00924A4B"/>
    <w:rsid w:val="00926A66"/>
    <w:rsid w:val="009318B1"/>
    <w:rsid w:val="00936C00"/>
    <w:rsid w:val="00940E95"/>
    <w:rsid w:val="00943945"/>
    <w:rsid w:val="0094744E"/>
    <w:rsid w:val="00951892"/>
    <w:rsid w:val="00953C34"/>
    <w:rsid w:val="009616BC"/>
    <w:rsid w:val="009633D7"/>
    <w:rsid w:val="00971574"/>
    <w:rsid w:val="009730F8"/>
    <w:rsid w:val="00980AD6"/>
    <w:rsid w:val="00981850"/>
    <w:rsid w:val="00985BAB"/>
    <w:rsid w:val="00986604"/>
    <w:rsid w:val="0098697C"/>
    <w:rsid w:val="00990336"/>
    <w:rsid w:val="00994794"/>
    <w:rsid w:val="00996061"/>
    <w:rsid w:val="009A1877"/>
    <w:rsid w:val="009A4012"/>
    <w:rsid w:val="009A4CAB"/>
    <w:rsid w:val="009B0C2E"/>
    <w:rsid w:val="009C30E7"/>
    <w:rsid w:val="009D19B1"/>
    <w:rsid w:val="009D3403"/>
    <w:rsid w:val="009E20FF"/>
    <w:rsid w:val="009F31B2"/>
    <w:rsid w:val="009F3880"/>
    <w:rsid w:val="00A00BD0"/>
    <w:rsid w:val="00A02F69"/>
    <w:rsid w:val="00A074AE"/>
    <w:rsid w:val="00A16578"/>
    <w:rsid w:val="00A20713"/>
    <w:rsid w:val="00A26AB0"/>
    <w:rsid w:val="00A34F6C"/>
    <w:rsid w:val="00A4054F"/>
    <w:rsid w:val="00A434FC"/>
    <w:rsid w:val="00A4666A"/>
    <w:rsid w:val="00A53A31"/>
    <w:rsid w:val="00A56A00"/>
    <w:rsid w:val="00A5B445"/>
    <w:rsid w:val="00A619C9"/>
    <w:rsid w:val="00A61BEB"/>
    <w:rsid w:val="00A6447B"/>
    <w:rsid w:val="00A646D7"/>
    <w:rsid w:val="00A675F3"/>
    <w:rsid w:val="00A7160C"/>
    <w:rsid w:val="00A74E75"/>
    <w:rsid w:val="00A80435"/>
    <w:rsid w:val="00A830F0"/>
    <w:rsid w:val="00A86BF6"/>
    <w:rsid w:val="00A928BC"/>
    <w:rsid w:val="00A96EBD"/>
    <w:rsid w:val="00AA2326"/>
    <w:rsid w:val="00AA771F"/>
    <w:rsid w:val="00AA7C1C"/>
    <w:rsid w:val="00AB0179"/>
    <w:rsid w:val="00AB05A2"/>
    <w:rsid w:val="00AB346E"/>
    <w:rsid w:val="00AC1E39"/>
    <w:rsid w:val="00AC7CA3"/>
    <w:rsid w:val="00AD2560"/>
    <w:rsid w:val="00AD27E4"/>
    <w:rsid w:val="00AF17C6"/>
    <w:rsid w:val="00AF5C9E"/>
    <w:rsid w:val="00AF6D6A"/>
    <w:rsid w:val="00AF7E83"/>
    <w:rsid w:val="00B07336"/>
    <w:rsid w:val="00B14372"/>
    <w:rsid w:val="00B219AD"/>
    <w:rsid w:val="00B2699A"/>
    <w:rsid w:val="00B269DF"/>
    <w:rsid w:val="00B30F97"/>
    <w:rsid w:val="00B318EF"/>
    <w:rsid w:val="00B34ACA"/>
    <w:rsid w:val="00B377C5"/>
    <w:rsid w:val="00B51989"/>
    <w:rsid w:val="00B56D22"/>
    <w:rsid w:val="00B57395"/>
    <w:rsid w:val="00B615B0"/>
    <w:rsid w:val="00B62E5C"/>
    <w:rsid w:val="00B707C8"/>
    <w:rsid w:val="00B71A85"/>
    <w:rsid w:val="00B743B7"/>
    <w:rsid w:val="00B75B4C"/>
    <w:rsid w:val="00B8348C"/>
    <w:rsid w:val="00B855D0"/>
    <w:rsid w:val="00B86E70"/>
    <w:rsid w:val="00B87CC3"/>
    <w:rsid w:val="00B90EA2"/>
    <w:rsid w:val="00B92A5F"/>
    <w:rsid w:val="00BA41F2"/>
    <w:rsid w:val="00BA5B27"/>
    <w:rsid w:val="00BA69AE"/>
    <w:rsid w:val="00BC6EB0"/>
    <w:rsid w:val="00BD11E4"/>
    <w:rsid w:val="00BD17E7"/>
    <w:rsid w:val="00BD199E"/>
    <w:rsid w:val="00BD32E3"/>
    <w:rsid w:val="00BD6514"/>
    <w:rsid w:val="00BD6CD0"/>
    <w:rsid w:val="00BE2A82"/>
    <w:rsid w:val="00C14F52"/>
    <w:rsid w:val="00C2269D"/>
    <w:rsid w:val="00C22FFC"/>
    <w:rsid w:val="00C24D54"/>
    <w:rsid w:val="00C24DF4"/>
    <w:rsid w:val="00C26220"/>
    <w:rsid w:val="00C27C41"/>
    <w:rsid w:val="00C314D3"/>
    <w:rsid w:val="00C31DB5"/>
    <w:rsid w:val="00C332C9"/>
    <w:rsid w:val="00C3414E"/>
    <w:rsid w:val="00C34A52"/>
    <w:rsid w:val="00C353F1"/>
    <w:rsid w:val="00C35E20"/>
    <w:rsid w:val="00C37108"/>
    <w:rsid w:val="00C37157"/>
    <w:rsid w:val="00C40E8D"/>
    <w:rsid w:val="00C44942"/>
    <w:rsid w:val="00C56718"/>
    <w:rsid w:val="00C573C3"/>
    <w:rsid w:val="00C60789"/>
    <w:rsid w:val="00C61BF2"/>
    <w:rsid w:val="00C81499"/>
    <w:rsid w:val="00C814CF"/>
    <w:rsid w:val="00C95739"/>
    <w:rsid w:val="00CA0DB2"/>
    <w:rsid w:val="00CA3673"/>
    <w:rsid w:val="00CA4C5E"/>
    <w:rsid w:val="00CB5171"/>
    <w:rsid w:val="00CB60FC"/>
    <w:rsid w:val="00CC5194"/>
    <w:rsid w:val="00CC5EAE"/>
    <w:rsid w:val="00CD7531"/>
    <w:rsid w:val="00CE046B"/>
    <w:rsid w:val="00CE4D38"/>
    <w:rsid w:val="00CF201B"/>
    <w:rsid w:val="00CF5341"/>
    <w:rsid w:val="00D03015"/>
    <w:rsid w:val="00D03390"/>
    <w:rsid w:val="00D066C3"/>
    <w:rsid w:val="00D115A7"/>
    <w:rsid w:val="00D12043"/>
    <w:rsid w:val="00D13731"/>
    <w:rsid w:val="00D161FC"/>
    <w:rsid w:val="00D235A5"/>
    <w:rsid w:val="00D24012"/>
    <w:rsid w:val="00D249DC"/>
    <w:rsid w:val="00D277BB"/>
    <w:rsid w:val="00D314AF"/>
    <w:rsid w:val="00D42F49"/>
    <w:rsid w:val="00D467F1"/>
    <w:rsid w:val="00D511C3"/>
    <w:rsid w:val="00D576F2"/>
    <w:rsid w:val="00D64DF1"/>
    <w:rsid w:val="00D7410F"/>
    <w:rsid w:val="00D75536"/>
    <w:rsid w:val="00D768E4"/>
    <w:rsid w:val="00D80CB1"/>
    <w:rsid w:val="00D92AC1"/>
    <w:rsid w:val="00D948AB"/>
    <w:rsid w:val="00D96411"/>
    <w:rsid w:val="00DA1A27"/>
    <w:rsid w:val="00DA2B08"/>
    <w:rsid w:val="00DA58EF"/>
    <w:rsid w:val="00DB41F6"/>
    <w:rsid w:val="00DB5467"/>
    <w:rsid w:val="00DC1BB3"/>
    <w:rsid w:val="00DC38B9"/>
    <w:rsid w:val="00DC5D0D"/>
    <w:rsid w:val="00DC7F50"/>
    <w:rsid w:val="00DD205A"/>
    <w:rsid w:val="00DD7CC2"/>
    <w:rsid w:val="00DE193A"/>
    <w:rsid w:val="00DE7726"/>
    <w:rsid w:val="00DF06FD"/>
    <w:rsid w:val="00DF255C"/>
    <w:rsid w:val="00DF75AB"/>
    <w:rsid w:val="00E0335A"/>
    <w:rsid w:val="00E034A8"/>
    <w:rsid w:val="00E14AF8"/>
    <w:rsid w:val="00E16FB0"/>
    <w:rsid w:val="00E22843"/>
    <w:rsid w:val="00E30B32"/>
    <w:rsid w:val="00E32DC4"/>
    <w:rsid w:val="00E330AE"/>
    <w:rsid w:val="00E4444A"/>
    <w:rsid w:val="00E506D0"/>
    <w:rsid w:val="00E50C31"/>
    <w:rsid w:val="00E51357"/>
    <w:rsid w:val="00E5773F"/>
    <w:rsid w:val="00E57EDC"/>
    <w:rsid w:val="00E6046B"/>
    <w:rsid w:val="00E62E7D"/>
    <w:rsid w:val="00E63642"/>
    <w:rsid w:val="00E6553B"/>
    <w:rsid w:val="00E7082A"/>
    <w:rsid w:val="00E71A8A"/>
    <w:rsid w:val="00E80843"/>
    <w:rsid w:val="00E861E6"/>
    <w:rsid w:val="00E93D00"/>
    <w:rsid w:val="00E97362"/>
    <w:rsid w:val="00EA2288"/>
    <w:rsid w:val="00EB29A0"/>
    <w:rsid w:val="00EB52E4"/>
    <w:rsid w:val="00EB596C"/>
    <w:rsid w:val="00EB6293"/>
    <w:rsid w:val="00EB6DEE"/>
    <w:rsid w:val="00EB7BD7"/>
    <w:rsid w:val="00EC08EA"/>
    <w:rsid w:val="00EC1806"/>
    <w:rsid w:val="00ED0A43"/>
    <w:rsid w:val="00ED62F4"/>
    <w:rsid w:val="00ED6940"/>
    <w:rsid w:val="00ED6C50"/>
    <w:rsid w:val="00EF37DA"/>
    <w:rsid w:val="00EF76C3"/>
    <w:rsid w:val="00EF772D"/>
    <w:rsid w:val="00F062E0"/>
    <w:rsid w:val="00F07F93"/>
    <w:rsid w:val="00F10FD1"/>
    <w:rsid w:val="00F170C3"/>
    <w:rsid w:val="00F20FC5"/>
    <w:rsid w:val="00F2249E"/>
    <w:rsid w:val="00F26B48"/>
    <w:rsid w:val="00F31F85"/>
    <w:rsid w:val="00F32EFF"/>
    <w:rsid w:val="00F336FB"/>
    <w:rsid w:val="00F359CE"/>
    <w:rsid w:val="00F37E58"/>
    <w:rsid w:val="00F4253C"/>
    <w:rsid w:val="00F43134"/>
    <w:rsid w:val="00F57CF7"/>
    <w:rsid w:val="00F6290E"/>
    <w:rsid w:val="00F65CA8"/>
    <w:rsid w:val="00F66359"/>
    <w:rsid w:val="00F75E6B"/>
    <w:rsid w:val="00F80D65"/>
    <w:rsid w:val="00F90137"/>
    <w:rsid w:val="00FA01AB"/>
    <w:rsid w:val="00FA2E3A"/>
    <w:rsid w:val="00FC057D"/>
    <w:rsid w:val="00FC391E"/>
    <w:rsid w:val="00FD0834"/>
    <w:rsid w:val="00FF05C8"/>
    <w:rsid w:val="00FF43E6"/>
    <w:rsid w:val="00FF4AFA"/>
    <w:rsid w:val="01234223"/>
    <w:rsid w:val="02047D66"/>
    <w:rsid w:val="0283167B"/>
    <w:rsid w:val="02B66861"/>
    <w:rsid w:val="03BB0614"/>
    <w:rsid w:val="04038448"/>
    <w:rsid w:val="04CD8C80"/>
    <w:rsid w:val="054172C6"/>
    <w:rsid w:val="05495A44"/>
    <w:rsid w:val="0573436E"/>
    <w:rsid w:val="057EAB2B"/>
    <w:rsid w:val="0625B3BE"/>
    <w:rsid w:val="0676EF4F"/>
    <w:rsid w:val="0691BB66"/>
    <w:rsid w:val="070CF659"/>
    <w:rsid w:val="073FBD21"/>
    <w:rsid w:val="07EDBEDC"/>
    <w:rsid w:val="08D49D16"/>
    <w:rsid w:val="0A7E9437"/>
    <w:rsid w:val="0C1AE8F9"/>
    <w:rsid w:val="0C685E60"/>
    <w:rsid w:val="0D540782"/>
    <w:rsid w:val="0DA19967"/>
    <w:rsid w:val="0EB429B5"/>
    <w:rsid w:val="107B4D5C"/>
    <w:rsid w:val="110753AE"/>
    <w:rsid w:val="11DAF9D2"/>
    <w:rsid w:val="132F9812"/>
    <w:rsid w:val="138A8C14"/>
    <w:rsid w:val="145298C6"/>
    <w:rsid w:val="1465D563"/>
    <w:rsid w:val="14D30985"/>
    <w:rsid w:val="15DA886F"/>
    <w:rsid w:val="1639812C"/>
    <w:rsid w:val="17FF4A8F"/>
    <w:rsid w:val="1823B02D"/>
    <w:rsid w:val="187DFC7B"/>
    <w:rsid w:val="18BACE06"/>
    <w:rsid w:val="19194C6E"/>
    <w:rsid w:val="19A97903"/>
    <w:rsid w:val="1A19CCDC"/>
    <w:rsid w:val="1AC1DA4A"/>
    <w:rsid w:val="1ACFBADD"/>
    <w:rsid w:val="1BE999A6"/>
    <w:rsid w:val="1D14F5A5"/>
    <w:rsid w:val="1D1554C1"/>
    <w:rsid w:val="1D55C84C"/>
    <w:rsid w:val="1DF90BCD"/>
    <w:rsid w:val="20752DA8"/>
    <w:rsid w:val="23B74BA6"/>
    <w:rsid w:val="246F5D78"/>
    <w:rsid w:val="24DF1E6B"/>
    <w:rsid w:val="25489ECB"/>
    <w:rsid w:val="25796B16"/>
    <w:rsid w:val="263F663E"/>
    <w:rsid w:val="265F1A60"/>
    <w:rsid w:val="28374C45"/>
    <w:rsid w:val="2856795C"/>
    <w:rsid w:val="2A1856D3"/>
    <w:rsid w:val="2A3972CD"/>
    <w:rsid w:val="2A629A74"/>
    <w:rsid w:val="2A700DAD"/>
    <w:rsid w:val="2AD9B72D"/>
    <w:rsid w:val="2B3A0DDC"/>
    <w:rsid w:val="2B5F8905"/>
    <w:rsid w:val="2B863353"/>
    <w:rsid w:val="2B8D82A6"/>
    <w:rsid w:val="2BD27995"/>
    <w:rsid w:val="2C626CC9"/>
    <w:rsid w:val="2D67598A"/>
    <w:rsid w:val="2E191460"/>
    <w:rsid w:val="2E2231ED"/>
    <w:rsid w:val="2F283557"/>
    <w:rsid w:val="30853A77"/>
    <w:rsid w:val="30AA4BD9"/>
    <w:rsid w:val="30B95067"/>
    <w:rsid w:val="30CA3166"/>
    <w:rsid w:val="313CF1EE"/>
    <w:rsid w:val="318637A2"/>
    <w:rsid w:val="31DFBA37"/>
    <w:rsid w:val="321B495C"/>
    <w:rsid w:val="32692EFD"/>
    <w:rsid w:val="32A4084A"/>
    <w:rsid w:val="32D1D522"/>
    <w:rsid w:val="346E9C95"/>
    <w:rsid w:val="348234F2"/>
    <w:rsid w:val="34B350F3"/>
    <w:rsid w:val="34E818EA"/>
    <w:rsid w:val="353FA6E6"/>
    <w:rsid w:val="355252A6"/>
    <w:rsid w:val="35571803"/>
    <w:rsid w:val="35F79D8D"/>
    <w:rsid w:val="3624A592"/>
    <w:rsid w:val="3760654F"/>
    <w:rsid w:val="38735BBC"/>
    <w:rsid w:val="3A051388"/>
    <w:rsid w:val="3A622B16"/>
    <w:rsid w:val="3A8AC61E"/>
    <w:rsid w:val="3D6C7A5B"/>
    <w:rsid w:val="3D84109A"/>
    <w:rsid w:val="3E8C05D8"/>
    <w:rsid w:val="3F2678AD"/>
    <w:rsid w:val="3F4A9976"/>
    <w:rsid w:val="3F7208D7"/>
    <w:rsid w:val="3FBC0AE4"/>
    <w:rsid w:val="40A31592"/>
    <w:rsid w:val="413D0E2B"/>
    <w:rsid w:val="418DE33F"/>
    <w:rsid w:val="41E08F92"/>
    <w:rsid w:val="42DFA1B2"/>
    <w:rsid w:val="42EEE44B"/>
    <w:rsid w:val="43EDBFC1"/>
    <w:rsid w:val="45B1E3E6"/>
    <w:rsid w:val="45C14284"/>
    <w:rsid w:val="465B89ED"/>
    <w:rsid w:val="46F997BF"/>
    <w:rsid w:val="47679EF3"/>
    <w:rsid w:val="47D7770A"/>
    <w:rsid w:val="48125CA8"/>
    <w:rsid w:val="4850D148"/>
    <w:rsid w:val="48ADC634"/>
    <w:rsid w:val="48DFB659"/>
    <w:rsid w:val="4966D718"/>
    <w:rsid w:val="4A8059CF"/>
    <w:rsid w:val="4AD6C657"/>
    <w:rsid w:val="4B5AE1A0"/>
    <w:rsid w:val="4CE23FD9"/>
    <w:rsid w:val="4D9EF240"/>
    <w:rsid w:val="4DE77B0C"/>
    <w:rsid w:val="4E0268D6"/>
    <w:rsid w:val="4E40D98B"/>
    <w:rsid w:val="4E5D6584"/>
    <w:rsid w:val="4E9319DA"/>
    <w:rsid w:val="511AF279"/>
    <w:rsid w:val="52774B6E"/>
    <w:rsid w:val="5297FFC5"/>
    <w:rsid w:val="52D0E1CB"/>
    <w:rsid w:val="52F4C95D"/>
    <w:rsid w:val="534E9190"/>
    <w:rsid w:val="54A57CEC"/>
    <w:rsid w:val="55A1E4C9"/>
    <w:rsid w:val="560BD999"/>
    <w:rsid w:val="569F8C1E"/>
    <w:rsid w:val="56B41CCB"/>
    <w:rsid w:val="57440E1E"/>
    <w:rsid w:val="5795E793"/>
    <w:rsid w:val="58555AB0"/>
    <w:rsid w:val="5907E4CE"/>
    <w:rsid w:val="5949B394"/>
    <w:rsid w:val="599A25DD"/>
    <w:rsid w:val="599FC993"/>
    <w:rsid w:val="59B913BF"/>
    <w:rsid w:val="5A05C8B6"/>
    <w:rsid w:val="5B3B83E5"/>
    <w:rsid w:val="5BA1F561"/>
    <w:rsid w:val="5BEBB6B7"/>
    <w:rsid w:val="5C02B349"/>
    <w:rsid w:val="5C1F39F6"/>
    <w:rsid w:val="5C83E507"/>
    <w:rsid w:val="5D3B6C92"/>
    <w:rsid w:val="5DC988AF"/>
    <w:rsid w:val="5EA8A831"/>
    <w:rsid w:val="61461A58"/>
    <w:rsid w:val="61DAE48E"/>
    <w:rsid w:val="62906336"/>
    <w:rsid w:val="6543E483"/>
    <w:rsid w:val="65CCFD80"/>
    <w:rsid w:val="66020850"/>
    <w:rsid w:val="66266A0F"/>
    <w:rsid w:val="6655CB96"/>
    <w:rsid w:val="694CD4AD"/>
    <w:rsid w:val="6A7C5442"/>
    <w:rsid w:val="6A9C5810"/>
    <w:rsid w:val="6BC8F917"/>
    <w:rsid w:val="6CDFC957"/>
    <w:rsid w:val="6D55C25F"/>
    <w:rsid w:val="6E11FC38"/>
    <w:rsid w:val="6E5554F8"/>
    <w:rsid w:val="6F0E4DBE"/>
    <w:rsid w:val="6F7B8942"/>
    <w:rsid w:val="71139A8E"/>
    <w:rsid w:val="711913A3"/>
    <w:rsid w:val="715B4203"/>
    <w:rsid w:val="71B40BA3"/>
    <w:rsid w:val="71C90E97"/>
    <w:rsid w:val="71FE4B02"/>
    <w:rsid w:val="72469825"/>
    <w:rsid w:val="72C3B263"/>
    <w:rsid w:val="72E76B24"/>
    <w:rsid w:val="72E78DD2"/>
    <w:rsid w:val="738BDDF0"/>
    <w:rsid w:val="73F38C2B"/>
    <w:rsid w:val="74F5C76E"/>
    <w:rsid w:val="7500AF59"/>
    <w:rsid w:val="75B53431"/>
    <w:rsid w:val="76A0A797"/>
    <w:rsid w:val="781F27BE"/>
    <w:rsid w:val="782CD0B8"/>
    <w:rsid w:val="78DFA981"/>
    <w:rsid w:val="78F3FAD0"/>
    <w:rsid w:val="79FB5B87"/>
    <w:rsid w:val="7A606FCF"/>
    <w:rsid w:val="7A8023F1"/>
    <w:rsid w:val="7B1EE313"/>
    <w:rsid w:val="7CD86312"/>
    <w:rsid w:val="7CE1178E"/>
    <w:rsid w:val="7D45DB0A"/>
    <w:rsid w:val="7D82A7D5"/>
    <w:rsid w:val="7DB72D3B"/>
    <w:rsid w:val="7DF68763"/>
    <w:rsid w:val="7E04DAFE"/>
    <w:rsid w:val="7E3DB342"/>
    <w:rsid w:val="7EA30A5C"/>
    <w:rsid w:val="7F4D3C20"/>
    <w:rsid w:val="7F9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799F30"/>
  <w15:docId w15:val="{B193CC7E-F3D0-4DD4-85CD-FB5B5DF0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41F6"/>
    <w:rPr>
      <w:rFonts w:ascii="Tahoma" w:hAnsi="Tahoma" w:cs="Tahoma"/>
      <w:sz w:val="16"/>
      <w:szCs w:val="16"/>
      <w:lang w:eastAsia="en-US"/>
    </w:rPr>
  </w:style>
  <w:style w:type="character" w:styleId="Textedelespacerserv">
    <w:name w:val="Placeholder Text"/>
    <w:basedOn w:val="Policepardfaut"/>
    <w:uiPriority w:val="99"/>
    <w:semiHidden/>
    <w:rsid w:val="00892860"/>
    <w:rPr>
      <w:color w:val="808080"/>
    </w:rPr>
  </w:style>
  <w:style w:type="paragraph" w:styleId="Paragraphedeliste">
    <w:name w:val="List Paragraph"/>
    <w:basedOn w:val="Normal"/>
    <w:uiPriority w:val="34"/>
    <w:qFormat/>
    <w:rsid w:val="008928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7F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FB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27F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FB0"/>
    <w:rPr>
      <w:sz w:val="22"/>
      <w:szCs w:val="22"/>
      <w:lang w:eastAsia="en-US"/>
    </w:rPr>
  </w:style>
  <w:style w:type="character" w:customStyle="1" w:styleId="Style1">
    <w:name w:val="Style1"/>
    <w:basedOn w:val="Policepardfaut"/>
    <w:uiPriority w:val="1"/>
    <w:rsid w:val="006625F7"/>
    <w:rPr>
      <w:rFonts w:ascii="Times New Roman" w:hAnsi="Times New Roman"/>
      <w:sz w:val="22"/>
    </w:rPr>
  </w:style>
  <w:style w:type="character" w:customStyle="1" w:styleId="Style2">
    <w:name w:val="Style2"/>
    <w:basedOn w:val="Policepardfaut"/>
    <w:uiPriority w:val="1"/>
    <w:rsid w:val="00A4054F"/>
    <w:rPr>
      <w:rFonts w:ascii="Times New Roman" w:hAnsi="Times New Roman"/>
      <w:sz w:val="22"/>
    </w:rPr>
  </w:style>
  <w:style w:type="character" w:customStyle="1" w:styleId="Style3">
    <w:name w:val="Style3"/>
    <w:basedOn w:val="Policepardfaut"/>
    <w:uiPriority w:val="1"/>
    <w:rsid w:val="0070231C"/>
    <w:rPr>
      <w:rFonts w:ascii="Times New Roman" w:hAnsi="Times New Roman"/>
      <w:b w:val="0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5B50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50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501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50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501B"/>
    <w:rPr>
      <w:b/>
      <w:bCs/>
      <w:lang w:eastAsia="en-US"/>
    </w:rPr>
  </w:style>
  <w:style w:type="paragraph" w:styleId="Rvision">
    <w:name w:val="Revision"/>
    <w:hidden/>
    <w:uiPriority w:val="99"/>
    <w:semiHidden/>
    <w:rsid w:val="005A28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EDC4B7BC25440A8D9BDB1DB3046A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9D4D3C-A2A7-4726-A191-7AAFAD6EDC1C}"/>
      </w:docPartPr>
      <w:docPartBody>
        <w:p w:rsidR="0020436D" w:rsidRDefault="0020436D">
          <w:pPr>
            <w:pStyle w:val="F2EDC4B7BC25440A8D9BDB1DB3046ADE"/>
          </w:pPr>
          <w:r w:rsidRPr="00715F2F">
            <w:rPr>
              <w:rStyle w:val="Textedelespacerserv"/>
              <w:rFonts w:ascii="Times New Roman" w:hAnsi="Times New Roman"/>
            </w:rPr>
            <w:t>Choisissez un élément</w:t>
          </w:r>
          <w:r w:rsidRPr="00686CFC">
            <w:rPr>
              <w:rStyle w:val="Textedelespacerserv"/>
            </w:rPr>
            <w:t>.</w:t>
          </w:r>
        </w:p>
      </w:docPartBody>
    </w:docPart>
    <w:docPart>
      <w:docPartPr>
        <w:name w:val="70CB4C2C58764BDF8D30F8E1E87F4E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63931A-0EC3-47E7-A377-F69234290097}"/>
      </w:docPartPr>
      <w:docPartBody>
        <w:p w:rsidR="0020436D" w:rsidRDefault="0020436D">
          <w:pPr>
            <w:pStyle w:val="70CB4C2C58764BDF8D30F8E1E87F4EC6"/>
          </w:pPr>
          <w:r w:rsidRPr="00715F2F">
            <w:rPr>
              <w:rStyle w:val="Textedelespacerserv"/>
              <w:rFonts w:ascii="Times New Roman" w:hAnsi="Times New Roman"/>
            </w:rPr>
            <w:t>Cliquez ici pour entrer une date.</w:t>
          </w:r>
        </w:p>
      </w:docPartBody>
    </w:docPart>
    <w:docPart>
      <w:docPartPr>
        <w:name w:val="FA7082B176A14800B3371E6D95B877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3408C-3443-479F-9388-4EC91C99E243}"/>
      </w:docPartPr>
      <w:docPartBody>
        <w:p w:rsidR="0020436D" w:rsidRDefault="0020436D">
          <w:pPr>
            <w:pStyle w:val="FA7082B176A14800B3371E6D95B87741"/>
          </w:pPr>
          <w:r w:rsidRPr="00715F2F">
            <w:rPr>
              <w:rStyle w:val="Textedelespacerserv"/>
              <w:rFonts w:ascii="Times New Roman" w:hAnsi="Times New Roman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6D"/>
    <w:rsid w:val="00116FBF"/>
    <w:rsid w:val="00160733"/>
    <w:rsid w:val="0020436D"/>
    <w:rsid w:val="00447734"/>
    <w:rsid w:val="004A5724"/>
    <w:rsid w:val="004A7493"/>
    <w:rsid w:val="004B05BA"/>
    <w:rsid w:val="004D4590"/>
    <w:rsid w:val="00514F7F"/>
    <w:rsid w:val="0072393C"/>
    <w:rsid w:val="0075686D"/>
    <w:rsid w:val="007972D4"/>
    <w:rsid w:val="0081267A"/>
    <w:rsid w:val="00845683"/>
    <w:rsid w:val="00867FEF"/>
    <w:rsid w:val="0089645C"/>
    <w:rsid w:val="00A62B04"/>
    <w:rsid w:val="00CC5645"/>
    <w:rsid w:val="00CF235B"/>
    <w:rsid w:val="00CF7044"/>
    <w:rsid w:val="00D12AF4"/>
    <w:rsid w:val="00D51CF7"/>
    <w:rsid w:val="00D759F7"/>
    <w:rsid w:val="00DD0E9E"/>
    <w:rsid w:val="00E51499"/>
    <w:rsid w:val="00F5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F2EDC4B7BC25440A8D9BDB1DB3046ADE">
    <w:name w:val="F2EDC4B7BC25440A8D9BDB1DB3046ADE"/>
  </w:style>
  <w:style w:type="paragraph" w:customStyle="1" w:styleId="70CB4C2C58764BDF8D30F8E1E87F4EC6">
    <w:name w:val="70CB4C2C58764BDF8D30F8E1E87F4EC6"/>
  </w:style>
  <w:style w:type="paragraph" w:customStyle="1" w:styleId="FA7082B176A14800B3371E6D95B87741">
    <w:name w:val="FA7082B176A14800B3371E6D95B877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56C40-FB10-444D-A908-C677659D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950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MSSS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Thibodeau</dc:creator>
  <cp:keywords/>
  <cp:lastModifiedBy>Lucie Larose</cp:lastModifiedBy>
  <cp:revision>5</cp:revision>
  <dcterms:created xsi:type="dcterms:W3CDTF">2022-03-02T14:25:00Z</dcterms:created>
  <dcterms:modified xsi:type="dcterms:W3CDTF">2022-03-02T14:51:00Z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2021-07-20T11:37:48Z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fe53377e-4af7-4060-9798-a12b9d4ad406</vt:lpwstr>
  </property>
  <property fmtid="{D5CDD505-2E9C-101B-9397-08002B2CF9AE}" pid="8" name="MSIP_Label_6a7d8d5d-78e2-4a62-9fcd-016eb5e4c57c_ContentBits">
    <vt:lpwstr>0</vt:lpwstr>
  </property>
</Properties>
</file>